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75BC0">
      <w:pPr>
        <w:spacing w:before="166" w:line="176" w:lineRule="auto"/>
        <w:ind w:left="3708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评审规则</w:t>
      </w:r>
    </w:p>
    <w:tbl>
      <w:tblPr>
        <w:tblStyle w:val="7"/>
        <w:tblW w:w="94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2931"/>
        <w:gridCol w:w="5741"/>
      </w:tblGrid>
      <w:tr w14:paraId="24D64A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796" w:type="dxa"/>
            <w:vAlign w:val="center"/>
          </w:tcPr>
          <w:p w14:paraId="2A5FD270">
            <w:pPr>
              <w:pStyle w:val="8"/>
              <w:spacing w:before="288" w:line="216" w:lineRule="auto"/>
              <w:jc w:val="center"/>
            </w:pPr>
            <w:r>
              <w:rPr>
                <w:spacing w:val="-4"/>
              </w:rPr>
              <w:t>序号</w:t>
            </w:r>
          </w:p>
        </w:tc>
        <w:tc>
          <w:tcPr>
            <w:tcW w:w="2931" w:type="dxa"/>
            <w:vAlign w:val="center"/>
          </w:tcPr>
          <w:p w14:paraId="5DF635BD">
            <w:pPr>
              <w:pStyle w:val="8"/>
              <w:spacing w:before="288" w:line="214" w:lineRule="auto"/>
              <w:jc w:val="center"/>
            </w:pPr>
            <w:r>
              <w:rPr>
                <w:spacing w:val="-3"/>
              </w:rPr>
              <w:t>评审因素</w:t>
            </w:r>
          </w:p>
        </w:tc>
        <w:tc>
          <w:tcPr>
            <w:tcW w:w="5741" w:type="dxa"/>
            <w:vAlign w:val="top"/>
          </w:tcPr>
          <w:p w14:paraId="49224BCE">
            <w:pPr>
              <w:pStyle w:val="8"/>
              <w:spacing w:before="288" w:line="215" w:lineRule="auto"/>
              <w:ind w:left="2396"/>
            </w:pPr>
            <w:r>
              <w:rPr>
                <w:spacing w:val="-3"/>
              </w:rPr>
              <w:t>评审标准</w:t>
            </w:r>
          </w:p>
        </w:tc>
      </w:tr>
      <w:tr w14:paraId="1BDC01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796" w:type="dxa"/>
            <w:vAlign w:val="center"/>
          </w:tcPr>
          <w:p w14:paraId="31553F2D">
            <w:pPr>
              <w:pStyle w:val="8"/>
              <w:spacing w:before="78" w:line="319" w:lineRule="exact"/>
              <w:jc w:val="center"/>
            </w:pPr>
            <w:r>
              <w:t>1</w:t>
            </w:r>
          </w:p>
        </w:tc>
        <w:tc>
          <w:tcPr>
            <w:tcW w:w="2931" w:type="dxa"/>
            <w:vAlign w:val="center"/>
          </w:tcPr>
          <w:p w14:paraId="2B3976F6">
            <w:pPr>
              <w:pStyle w:val="8"/>
              <w:spacing w:before="78" w:line="214" w:lineRule="auto"/>
              <w:jc w:val="center"/>
            </w:pPr>
            <w:r>
              <w:rPr>
                <w:spacing w:val="-3"/>
              </w:rPr>
              <w:t>分值构成</w:t>
            </w:r>
          </w:p>
          <w:p w14:paraId="59FF57E1">
            <w:pPr>
              <w:pStyle w:val="8"/>
              <w:spacing w:before="189" w:line="217" w:lineRule="auto"/>
              <w:jc w:val="center"/>
            </w:pPr>
            <w:r>
              <w:rPr>
                <w:rFonts w:hint="eastAsia"/>
                <w:spacing w:val="-12"/>
                <w:lang w:eastAsia="zh-CN"/>
              </w:rPr>
              <w:t>（</w:t>
            </w:r>
            <w:r>
              <w:rPr>
                <w:spacing w:val="-12"/>
              </w:rPr>
              <w:t>总分100分</w:t>
            </w:r>
            <w:r>
              <w:rPr>
                <w:rFonts w:hint="eastAsia"/>
                <w:spacing w:val="-12"/>
                <w:lang w:eastAsia="zh-CN"/>
              </w:rPr>
              <w:t>）</w:t>
            </w:r>
          </w:p>
        </w:tc>
        <w:tc>
          <w:tcPr>
            <w:tcW w:w="5741" w:type="dxa"/>
            <w:vAlign w:val="top"/>
          </w:tcPr>
          <w:p w14:paraId="4B7F181A">
            <w:pPr>
              <w:pStyle w:val="8"/>
              <w:spacing w:before="118" w:line="214" w:lineRule="auto"/>
              <w:ind w:left="20"/>
            </w:pPr>
            <w:r>
              <w:rPr>
                <w:spacing w:val="-3"/>
              </w:rPr>
              <w:t>报价部分：35分</w:t>
            </w:r>
          </w:p>
          <w:p w14:paraId="44F02BEC">
            <w:pPr>
              <w:pStyle w:val="8"/>
              <w:spacing w:before="189" w:line="217" w:lineRule="auto"/>
              <w:ind w:left="16"/>
            </w:pPr>
            <w:r>
              <w:rPr>
                <w:spacing w:val="-2"/>
              </w:rPr>
              <w:t>技术部分：35分</w:t>
            </w:r>
          </w:p>
          <w:p w14:paraId="60DDBB54">
            <w:pPr>
              <w:pStyle w:val="8"/>
              <w:spacing w:before="185" w:line="217" w:lineRule="auto"/>
              <w:ind w:left="23"/>
            </w:pPr>
            <w:r>
              <w:rPr>
                <w:spacing w:val="-3"/>
              </w:rPr>
              <w:t>综合部分：30分</w:t>
            </w:r>
          </w:p>
        </w:tc>
      </w:tr>
      <w:tr w14:paraId="2BD981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8" w:hRule="atLeast"/>
        </w:trPr>
        <w:tc>
          <w:tcPr>
            <w:tcW w:w="796" w:type="dxa"/>
            <w:vAlign w:val="center"/>
          </w:tcPr>
          <w:p w14:paraId="25A42012">
            <w:pPr>
              <w:pStyle w:val="8"/>
              <w:spacing w:before="78" w:line="319" w:lineRule="exact"/>
              <w:jc w:val="center"/>
            </w:pPr>
            <w:r>
              <w:t>2</w:t>
            </w:r>
          </w:p>
        </w:tc>
        <w:tc>
          <w:tcPr>
            <w:tcW w:w="2931" w:type="dxa"/>
            <w:vAlign w:val="center"/>
          </w:tcPr>
          <w:p w14:paraId="494A6411">
            <w:pPr>
              <w:pStyle w:val="8"/>
              <w:spacing w:before="78" w:line="214" w:lineRule="auto"/>
              <w:jc w:val="center"/>
            </w:pPr>
            <w:r>
              <w:rPr>
                <w:spacing w:val="-2"/>
              </w:rPr>
              <w:t>评审基准价计算方法</w:t>
            </w:r>
          </w:p>
        </w:tc>
        <w:tc>
          <w:tcPr>
            <w:tcW w:w="5741" w:type="dxa"/>
            <w:vAlign w:val="top"/>
          </w:tcPr>
          <w:p w14:paraId="42605882">
            <w:pPr>
              <w:pStyle w:val="8"/>
              <w:spacing w:before="117" w:line="360" w:lineRule="auto"/>
              <w:ind w:left="19" w:hanging="1"/>
            </w:pPr>
            <w:r>
              <w:rPr>
                <w:spacing w:val="-12"/>
              </w:rPr>
              <w:t>有效供应商报价：通过初步评审（形式评审、资格评审、</w:t>
            </w:r>
            <w:r>
              <w:rPr>
                <w:spacing w:val="-8"/>
              </w:rPr>
              <w:t>响应性评审）的供应商的响应总报价（不含增值税）。</w:t>
            </w:r>
          </w:p>
          <w:p w14:paraId="5B6AC1E7">
            <w:pPr>
              <w:pStyle w:val="8"/>
              <w:spacing w:line="360" w:lineRule="auto"/>
              <w:ind w:left="12" w:right="3" w:hanging="4"/>
            </w:pPr>
            <w:r>
              <w:rPr>
                <w:spacing w:val="-2"/>
              </w:rPr>
              <w:t>（1）当通过初步评审的单位数量在5家以上时，采用二次平均的办法计算评审基准价。即有效供应商的响应总报价（不含增值税）去掉一个最高报价和一个最低报价的算术平均值为一次平均值，该平均值及以下的响应总</w:t>
            </w:r>
            <w:r>
              <w:rPr>
                <w:spacing w:val="6"/>
              </w:rPr>
              <w:t>报价（不含增值税</w:t>
            </w:r>
            <w:r>
              <w:rPr>
                <w:spacing w:val="-87"/>
              </w:rPr>
              <w:t>）</w:t>
            </w:r>
            <w:r>
              <w:rPr>
                <w:rFonts w:hint="eastAsia"/>
                <w:spacing w:val="-87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pacing w:val="-87"/>
                <w:sz w:val="24"/>
                <w:szCs w:val="24"/>
                <w:lang w:val="en-US" w:eastAsia="zh-CN"/>
              </w:rPr>
              <w:t>含</w:t>
            </w:r>
            <w:r>
              <w:rPr>
                <w:spacing w:val="6"/>
                <w:sz w:val="24"/>
                <w:szCs w:val="24"/>
              </w:rPr>
              <w:t>等于一次</w:t>
            </w:r>
            <w:r>
              <w:rPr>
                <w:spacing w:val="6"/>
              </w:rPr>
              <w:t>平均值的供应商响应</w:t>
            </w:r>
            <w:r>
              <w:rPr>
                <w:spacing w:val="-2"/>
              </w:rPr>
              <w:t>总报价，不含一次平均值计算过程中去掉的一个最低报</w:t>
            </w:r>
            <w:r>
              <w:rPr>
                <w:spacing w:val="-1"/>
              </w:rPr>
              <w:t>价）算术平均值为评审基准价。</w:t>
            </w:r>
          </w:p>
          <w:p w14:paraId="300C0C87">
            <w:pPr>
              <w:pStyle w:val="8"/>
              <w:spacing w:before="3" w:line="327" w:lineRule="auto"/>
              <w:ind w:left="18" w:right="3" w:hanging="10"/>
            </w:pPr>
            <w:r>
              <w:rPr>
                <w:spacing w:val="-2"/>
              </w:rPr>
              <w:t>（2）当通过初步评审的单位数量在5家及以下的，采用一次平均的方法计算评审基准价，评审基准价为所有供</w:t>
            </w:r>
            <w:r>
              <w:rPr>
                <w:spacing w:val="-1"/>
              </w:rPr>
              <w:t>应商响应总报价（不含增值税）的算术平均值。</w:t>
            </w:r>
          </w:p>
        </w:tc>
      </w:tr>
      <w:tr w14:paraId="1D359F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796" w:type="dxa"/>
            <w:vAlign w:val="center"/>
          </w:tcPr>
          <w:p w14:paraId="7D7B7575">
            <w:pPr>
              <w:pStyle w:val="8"/>
              <w:spacing w:before="78"/>
              <w:jc w:val="center"/>
            </w:pPr>
            <w:r>
              <w:rPr>
                <w:spacing w:val="-7"/>
              </w:rPr>
              <w:t>2.1</w:t>
            </w:r>
          </w:p>
        </w:tc>
        <w:tc>
          <w:tcPr>
            <w:tcW w:w="2931" w:type="dxa"/>
            <w:vAlign w:val="center"/>
          </w:tcPr>
          <w:p w14:paraId="128AE146">
            <w:pPr>
              <w:pStyle w:val="8"/>
              <w:spacing w:before="121" w:line="312" w:lineRule="auto"/>
              <w:ind w:right="29"/>
              <w:jc w:val="center"/>
            </w:pPr>
            <w:r>
              <w:rPr>
                <w:spacing w:val="-2"/>
              </w:rPr>
              <w:t>响应总报价（不含增值税）</w:t>
            </w:r>
            <w:r>
              <w:rPr>
                <w:spacing w:val="-4"/>
              </w:rPr>
              <w:t>的偏差率计算公式</w:t>
            </w:r>
          </w:p>
        </w:tc>
        <w:tc>
          <w:tcPr>
            <w:tcW w:w="5741" w:type="dxa"/>
            <w:vAlign w:val="top"/>
          </w:tcPr>
          <w:p w14:paraId="727940B0">
            <w:pPr>
              <w:pStyle w:val="8"/>
              <w:spacing w:before="121" w:line="312" w:lineRule="auto"/>
              <w:ind w:left="12" w:right="70"/>
            </w:pPr>
            <w:r>
              <w:rPr>
                <w:spacing w:val="-1"/>
              </w:rPr>
              <w:t>偏差率=100%×（供应商响应总报价（不含增值税）-评标基准价）/评标基准价</w:t>
            </w:r>
          </w:p>
        </w:tc>
      </w:tr>
    </w:tbl>
    <w:p w14:paraId="38CF4D4A">
      <w:pPr>
        <w:rPr>
          <w:rFonts w:ascii="Arial"/>
          <w:sz w:val="21"/>
        </w:rPr>
      </w:pPr>
    </w:p>
    <w:p w14:paraId="67462B45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9"/>
          <w:pgMar w:top="2098" w:right="1474" w:bottom="1984" w:left="1587" w:header="0" w:footer="975" w:gutter="0"/>
          <w:pgNumType w:fmt="decimal"/>
          <w:cols w:space="720" w:num="1"/>
        </w:sectPr>
      </w:pPr>
    </w:p>
    <w:tbl>
      <w:tblPr>
        <w:tblStyle w:val="7"/>
        <w:tblW w:w="94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1154"/>
        <w:gridCol w:w="125"/>
        <w:gridCol w:w="1652"/>
        <w:gridCol w:w="5741"/>
      </w:tblGrid>
      <w:tr w14:paraId="1B27D1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796" w:type="dxa"/>
            <w:vAlign w:val="center"/>
          </w:tcPr>
          <w:p w14:paraId="28718F0C">
            <w:pPr>
              <w:pStyle w:val="8"/>
              <w:spacing w:before="289" w:line="480" w:lineRule="auto"/>
              <w:jc w:val="center"/>
            </w:pPr>
            <w:r>
              <w:rPr>
                <w:spacing w:val="-4"/>
              </w:rPr>
              <w:t>序号</w:t>
            </w:r>
          </w:p>
        </w:tc>
        <w:tc>
          <w:tcPr>
            <w:tcW w:w="2931" w:type="dxa"/>
            <w:gridSpan w:val="3"/>
            <w:vAlign w:val="center"/>
          </w:tcPr>
          <w:p w14:paraId="2535CF8B">
            <w:pPr>
              <w:pStyle w:val="8"/>
              <w:spacing w:before="289" w:line="480" w:lineRule="auto"/>
              <w:jc w:val="center"/>
            </w:pPr>
            <w:r>
              <w:rPr>
                <w:spacing w:val="-3"/>
              </w:rPr>
              <w:t>评审因素</w:t>
            </w:r>
          </w:p>
        </w:tc>
        <w:tc>
          <w:tcPr>
            <w:tcW w:w="5741" w:type="dxa"/>
            <w:vAlign w:val="top"/>
          </w:tcPr>
          <w:p w14:paraId="701E7E97">
            <w:pPr>
              <w:pStyle w:val="8"/>
              <w:spacing w:before="289" w:line="480" w:lineRule="auto"/>
              <w:ind w:left="2396"/>
            </w:pPr>
            <w:r>
              <w:rPr>
                <w:spacing w:val="-3"/>
              </w:rPr>
              <w:t>评审标准</w:t>
            </w:r>
          </w:p>
        </w:tc>
      </w:tr>
      <w:tr w14:paraId="098D5F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4" w:hRule="atLeast"/>
        </w:trPr>
        <w:tc>
          <w:tcPr>
            <w:tcW w:w="796" w:type="dxa"/>
            <w:vAlign w:val="center"/>
          </w:tcPr>
          <w:p w14:paraId="1339E2F5">
            <w:pPr>
              <w:pStyle w:val="8"/>
              <w:spacing w:before="78" w:line="242" w:lineRule="auto"/>
              <w:jc w:val="center"/>
            </w:pPr>
            <w:r>
              <w:t>3</w:t>
            </w:r>
          </w:p>
        </w:tc>
        <w:tc>
          <w:tcPr>
            <w:tcW w:w="1154" w:type="dxa"/>
            <w:vAlign w:val="center"/>
          </w:tcPr>
          <w:p w14:paraId="4CB98828">
            <w:pPr>
              <w:pStyle w:val="8"/>
              <w:spacing w:before="78" w:line="361" w:lineRule="auto"/>
              <w:ind w:right="72"/>
              <w:jc w:val="center"/>
            </w:pPr>
            <w:r>
              <w:rPr>
                <w:spacing w:val="-5"/>
              </w:rPr>
              <w:t>报价部分（35分）</w:t>
            </w:r>
          </w:p>
        </w:tc>
        <w:tc>
          <w:tcPr>
            <w:tcW w:w="1777" w:type="dxa"/>
            <w:gridSpan w:val="2"/>
            <w:vAlign w:val="center"/>
          </w:tcPr>
          <w:p w14:paraId="6B98223D">
            <w:pPr>
              <w:pStyle w:val="8"/>
              <w:spacing w:before="78" w:line="361" w:lineRule="auto"/>
              <w:ind w:right="380"/>
              <w:jc w:val="center"/>
              <w:rPr>
                <w:spacing w:val="-4"/>
              </w:rPr>
            </w:pPr>
            <w:r>
              <w:rPr>
                <w:spacing w:val="-4"/>
              </w:rPr>
              <w:t>报价得分</w:t>
            </w:r>
          </w:p>
          <w:p w14:paraId="16A9FDFA">
            <w:pPr>
              <w:pStyle w:val="8"/>
              <w:spacing w:before="78" w:line="361" w:lineRule="auto"/>
              <w:ind w:right="380"/>
              <w:jc w:val="center"/>
            </w:pPr>
            <w:r>
              <w:rPr>
                <w:spacing w:val="-5"/>
              </w:rPr>
              <w:t>（</w:t>
            </w:r>
            <w:r>
              <w:rPr>
                <w:rFonts w:hint="eastAsia"/>
                <w:spacing w:val="-5"/>
                <w:lang w:val="en-US" w:eastAsia="zh-CN"/>
              </w:rPr>
              <w:t>3</w:t>
            </w:r>
            <w:r>
              <w:rPr>
                <w:spacing w:val="-5"/>
              </w:rPr>
              <w:t>5分）</w:t>
            </w:r>
          </w:p>
        </w:tc>
        <w:tc>
          <w:tcPr>
            <w:tcW w:w="5741" w:type="dxa"/>
            <w:vAlign w:val="top"/>
          </w:tcPr>
          <w:p w14:paraId="18962884">
            <w:pPr>
              <w:pStyle w:val="8"/>
              <w:spacing w:before="116" w:line="360" w:lineRule="auto"/>
              <w:ind w:left="10" w:right="5" w:hanging="2"/>
            </w:pPr>
            <w:r>
              <w:rPr>
                <w:spacing w:val="3"/>
              </w:rPr>
              <w:t>（1）当有效供应商响应总报价（不含增值税）等于评</w:t>
            </w:r>
            <w:r>
              <w:rPr>
                <w:spacing w:val="-1"/>
              </w:rPr>
              <w:t>标基准价时，供应商得满分35分；</w:t>
            </w:r>
          </w:p>
          <w:p w14:paraId="1A113CE5">
            <w:pPr>
              <w:pStyle w:val="8"/>
              <w:spacing w:line="360" w:lineRule="auto"/>
              <w:ind w:left="12" w:hanging="4"/>
            </w:pPr>
            <w:r>
              <w:rPr>
                <w:spacing w:val="-6"/>
              </w:rPr>
              <w:t>（2）当响应总报价（不含增值税）高于评标基</w:t>
            </w:r>
            <w:r>
              <w:rPr>
                <w:spacing w:val="-7"/>
              </w:rPr>
              <w:t>准价时，</w:t>
            </w:r>
            <w:r>
              <w:rPr>
                <w:spacing w:val="1"/>
              </w:rPr>
              <w:t>按每高于评标基准价1%扣1分的比例在3</w:t>
            </w:r>
            <w:r>
              <w:t>5分的基础上进</w:t>
            </w:r>
            <w:r>
              <w:rPr>
                <w:spacing w:val="-4"/>
              </w:rPr>
              <w:t>行扣分，扣完为止。</w:t>
            </w:r>
          </w:p>
          <w:p w14:paraId="42A959E4">
            <w:pPr>
              <w:pStyle w:val="8"/>
              <w:spacing w:before="2" w:line="359" w:lineRule="auto"/>
              <w:ind w:left="13" w:right="5" w:firstLine="7"/>
            </w:pPr>
            <w:r>
              <w:rPr>
                <w:spacing w:val="2"/>
              </w:rPr>
              <w:t>报价得分=35分-（供应商响应总报价（不含增值税）-</w:t>
            </w:r>
            <w:r>
              <w:rPr>
                <w:spacing w:val="-11"/>
              </w:rPr>
              <w:t>评标基准价）/评标基准价</w:t>
            </w:r>
            <w:r>
              <w:rPr>
                <w:rFonts w:hint="eastAsia"/>
                <w:spacing w:val="-11"/>
                <w:lang w:val="en-US" w:eastAsia="zh-CN"/>
              </w:rPr>
              <w:t>×1×100</w:t>
            </w:r>
            <w:r>
              <w:rPr>
                <w:spacing w:val="-11"/>
              </w:rPr>
              <w:t>；</w:t>
            </w:r>
          </w:p>
          <w:p w14:paraId="2F013A50">
            <w:pPr>
              <w:pStyle w:val="8"/>
              <w:spacing w:line="360" w:lineRule="auto"/>
              <w:ind w:left="12" w:hanging="4"/>
            </w:pPr>
            <w:r>
              <w:rPr>
                <w:spacing w:val="-6"/>
              </w:rPr>
              <w:t>（3）当响应总报价（不含增值税）低于评标基</w:t>
            </w:r>
            <w:r>
              <w:rPr>
                <w:spacing w:val="-7"/>
              </w:rPr>
              <w:t>准价时，</w:t>
            </w:r>
            <w:r>
              <w:rPr>
                <w:spacing w:val="1"/>
              </w:rPr>
              <w:t>按每低于评标基准价1%扣0.5分的比例在3</w:t>
            </w:r>
            <w:r>
              <w:t>5分的基础上</w:t>
            </w:r>
            <w:r>
              <w:rPr>
                <w:spacing w:val="-4"/>
              </w:rPr>
              <w:t>进行扣分，扣完为止。</w:t>
            </w:r>
          </w:p>
          <w:p w14:paraId="37B506F7">
            <w:pPr>
              <w:pStyle w:val="8"/>
              <w:spacing w:before="2" w:line="359" w:lineRule="auto"/>
              <w:ind w:left="13" w:right="5" w:firstLine="7"/>
              <w:rPr>
                <w:rFonts w:hint="default" w:eastAsia="FangSong_GB2312"/>
                <w:lang w:val="en-US" w:eastAsia="zh-CN"/>
              </w:rPr>
            </w:pPr>
            <w:r>
              <w:rPr>
                <w:spacing w:val="2"/>
              </w:rPr>
              <w:t>报价得分=35分+（供应商响应总报价（不含增值税）-</w:t>
            </w:r>
            <w:r>
              <w:rPr>
                <w:spacing w:val="-11"/>
              </w:rPr>
              <w:t>评标基准价）/评标基准价</w:t>
            </w:r>
            <w:r>
              <w:rPr>
                <w:rFonts w:hint="eastAsia"/>
                <w:spacing w:val="-11"/>
                <w:lang w:val="en-US" w:eastAsia="zh-CN"/>
              </w:rPr>
              <w:t>×0.5×100；</w:t>
            </w:r>
          </w:p>
          <w:p w14:paraId="60CA9568">
            <w:pPr>
              <w:pStyle w:val="8"/>
              <w:spacing w:line="312" w:lineRule="auto"/>
              <w:ind w:left="21" w:right="3" w:hanging="5"/>
            </w:pPr>
            <w:r>
              <w:rPr>
                <w:spacing w:val="-2"/>
              </w:rPr>
              <w:t>备注：数值精度为小数点后</w:t>
            </w:r>
            <w:r>
              <w:rPr>
                <w:rFonts w:hint="eastAsia"/>
                <w:spacing w:val="-2"/>
                <w:lang w:eastAsia="zh-CN"/>
              </w:rPr>
              <w:t>两位</w:t>
            </w:r>
            <w:r>
              <w:rPr>
                <w:spacing w:val="-2"/>
              </w:rPr>
              <w:t>，第三位小数进行四舍</w:t>
            </w:r>
            <w:r>
              <w:rPr>
                <w:spacing w:val="-6"/>
              </w:rPr>
              <w:t>五入。</w:t>
            </w:r>
          </w:p>
        </w:tc>
      </w:tr>
      <w:tr w14:paraId="70BB8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796" w:type="dxa"/>
            <w:vMerge w:val="restart"/>
            <w:vAlign w:val="center"/>
          </w:tcPr>
          <w:p w14:paraId="31F09E63">
            <w:pPr>
              <w:pStyle w:val="8"/>
              <w:spacing w:before="78" w:line="319" w:lineRule="exact"/>
              <w:jc w:val="center"/>
            </w:pPr>
            <w:r>
              <w:t>4</w:t>
            </w:r>
          </w:p>
        </w:tc>
        <w:tc>
          <w:tcPr>
            <w:tcW w:w="1154" w:type="dxa"/>
            <w:vMerge w:val="restart"/>
            <w:vAlign w:val="center"/>
          </w:tcPr>
          <w:p w14:paraId="0F77B48B">
            <w:pPr>
              <w:pStyle w:val="8"/>
              <w:spacing w:before="78" w:line="361" w:lineRule="auto"/>
              <w:ind w:right="72"/>
              <w:jc w:val="center"/>
            </w:pPr>
            <w:r>
              <w:rPr>
                <w:spacing w:val="-4"/>
              </w:rPr>
              <w:t>技术部分</w:t>
            </w:r>
            <w:r>
              <w:rPr>
                <w:spacing w:val="-5"/>
              </w:rPr>
              <w:t>（35分）</w:t>
            </w: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5C346E6C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en-US"/>
              </w:rPr>
            </w:pPr>
            <w:r>
              <w:rPr>
                <w:rFonts w:hint="eastAsia"/>
                <w:spacing w:val="3"/>
              </w:rPr>
              <w:t>1.对本项目任务、要求的理解（</w:t>
            </w:r>
            <w:r>
              <w:rPr>
                <w:rFonts w:hint="eastAsia"/>
                <w:spacing w:val="3"/>
                <w:lang w:val="en-US" w:eastAsia="zh-CN"/>
              </w:rPr>
              <w:t>6</w:t>
            </w:r>
            <w:r>
              <w:rPr>
                <w:rFonts w:hint="eastAsia"/>
                <w:spacing w:val="3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0505ACF3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</w:rPr>
            </w:pPr>
            <w:r>
              <w:rPr>
                <w:rFonts w:hint="eastAsia"/>
                <w:spacing w:val="3"/>
              </w:rPr>
              <w:t>对项目理解考虑深刻全面，能准确把握项目的总体建设目标，设计思路清晰，能结合本项目的实际定位及运用</w:t>
            </w:r>
            <w:r>
              <w:rPr>
                <w:rFonts w:hint="eastAsia"/>
                <w:spacing w:val="3"/>
                <w:lang w:eastAsia="zh-CN"/>
              </w:rPr>
              <w:t>，</w:t>
            </w:r>
            <w:r>
              <w:rPr>
                <w:rFonts w:hint="eastAsia"/>
                <w:spacing w:val="3"/>
              </w:rPr>
              <w:t>并兼顾抗震、消防、环保、节能、绿色建筑等规范标准。</w:t>
            </w:r>
          </w:p>
          <w:p w14:paraId="47A67143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en-US"/>
              </w:rPr>
            </w:pPr>
            <w:r>
              <w:rPr>
                <w:rFonts w:hint="eastAsia"/>
                <w:spacing w:val="3"/>
                <w:lang w:val="en-US" w:eastAsia="zh-CN"/>
              </w:rPr>
              <w:t>一般得0-2分，良得2-4分，优得4-6分，缺项不得分。</w:t>
            </w:r>
          </w:p>
        </w:tc>
      </w:tr>
      <w:tr w14:paraId="3DA8AC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  <w:vAlign w:val="center"/>
          </w:tcPr>
          <w:p w14:paraId="1BFE3D6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54" w:type="dxa"/>
            <w:vMerge w:val="continue"/>
            <w:vAlign w:val="center"/>
          </w:tcPr>
          <w:p w14:paraId="2F5EE34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0C2D9D57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en-US"/>
              </w:rPr>
            </w:pPr>
            <w:r>
              <w:rPr>
                <w:rFonts w:hint="eastAsia"/>
                <w:spacing w:val="3"/>
                <w:lang w:val="en-US" w:eastAsia="zh-CN"/>
              </w:rPr>
              <w:t>2.总体设计思路</w:t>
            </w:r>
            <w:r>
              <w:rPr>
                <w:rFonts w:hint="eastAsia"/>
                <w:spacing w:val="3"/>
              </w:rPr>
              <w:t>（</w:t>
            </w:r>
            <w:r>
              <w:rPr>
                <w:rFonts w:hint="eastAsia"/>
                <w:spacing w:val="3"/>
                <w:lang w:val="en-US" w:eastAsia="zh-CN"/>
              </w:rPr>
              <w:t>6</w:t>
            </w:r>
            <w:r>
              <w:rPr>
                <w:rFonts w:hint="eastAsia"/>
                <w:spacing w:val="3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5F3AF83D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</w:rPr>
            </w:pPr>
            <w:r>
              <w:rPr>
                <w:rFonts w:hint="eastAsia"/>
                <w:spacing w:val="3"/>
              </w:rPr>
              <w:t>总体设计思路清晰、完整、严谨、合理，根据项目实际特点，合理应用技术标准</w:t>
            </w:r>
            <w:r>
              <w:rPr>
                <w:rFonts w:hint="eastAsia"/>
                <w:spacing w:val="3"/>
                <w:lang w:eastAsia="zh-CN"/>
              </w:rPr>
              <w:t>（</w:t>
            </w:r>
            <w:r>
              <w:rPr>
                <w:rFonts w:hint="eastAsia"/>
                <w:spacing w:val="3"/>
              </w:rPr>
              <w:t>适用、经济、安全</w:t>
            </w:r>
            <w:r>
              <w:rPr>
                <w:rFonts w:hint="eastAsia"/>
                <w:spacing w:val="3"/>
                <w:lang w:eastAsia="zh-CN"/>
              </w:rPr>
              <w:t>）</w:t>
            </w:r>
            <w:r>
              <w:rPr>
                <w:rFonts w:hint="eastAsia"/>
                <w:spacing w:val="3"/>
              </w:rPr>
              <w:t>，体现精细化、创新性，融入、节约环保理念。</w:t>
            </w:r>
          </w:p>
          <w:p w14:paraId="663856D0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en-US"/>
              </w:rPr>
            </w:pPr>
            <w:r>
              <w:rPr>
                <w:rFonts w:hint="eastAsia"/>
                <w:spacing w:val="3"/>
                <w:lang w:val="en-US" w:eastAsia="zh-CN"/>
              </w:rPr>
              <w:t>一般得0-2分，良得2-4分，优得4-6分，缺项不得分。</w:t>
            </w:r>
          </w:p>
        </w:tc>
      </w:tr>
      <w:tr w14:paraId="719DAF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</w:tcPr>
          <w:p w14:paraId="73900F0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54" w:type="dxa"/>
            <w:vMerge w:val="continue"/>
          </w:tcPr>
          <w:p w14:paraId="0F0DB96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2108586C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en-US"/>
              </w:rPr>
            </w:pPr>
            <w:r>
              <w:rPr>
                <w:rFonts w:hint="eastAsia"/>
                <w:spacing w:val="3"/>
                <w:lang w:val="en-US" w:eastAsia="zh-CN"/>
              </w:rPr>
              <w:t>3.重点、难点及关键技术问题分析及对应措施（6分）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2EDC149F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zh-CN"/>
              </w:rPr>
            </w:pPr>
            <w:r>
              <w:rPr>
                <w:rFonts w:hint="eastAsia"/>
                <w:spacing w:val="3"/>
              </w:rPr>
              <w:t>依据本项目实际情况，对本</w:t>
            </w:r>
            <w:r>
              <w:rPr>
                <w:rFonts w:hint="eastAsia"/>
                <w:spacing w:val="3"/>
                <w:lang w:val="en-US" w:eastAsia="zh-CN"/>
              </w:rPr>
              <w:t>项目</w:t>
            </w:r>
            <w:r>
              <w:rPr>
                <w:rFonts w:hint="eastAsia"/>
                <w:spacing w:val="3"/>
              </w:rPr>
              <w:t>涉及工作的重点、难点进行分析，并具有相应的应对措施</w:t>
            </w:r>
            <w:r>
              <w:rPr>
                <w:rFonts w:hint="eastAsia"/>
                <w:spacing w:val="3"/>
                <w:lang w:val="en-US" w:eastAsia="zh-CN"/>
              </w:rPr>
              <w:t>。</w:t>
            </w:r>
          </w:p>
          <w:p w14:paraId="75CEEA7F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en-US"/>
              </w:rPr>
            </w:pPr>
            <w:r>
              <w:rPr>
                <w:rFonts w:hint="eastAsia"/>
                <w:spacing w:val="3"/>
                <w:lang w:val="en-US" w:eastAsia="zh-CN"/>
              </w:rPr>
              <w:t>一般得0-2分，良得2-4分，优得4-6分，缺项不得分。</w:t>
            </w:r>
          </w:p>
        </w:tc>
      </w:tr>
      <w:tr w14:paraId="583F41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</w:tcPr>
          <w:p w14:paraId="7B3D94A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54" w:type="dxa"/>
            <w:vMerge w:val="continue"/>
          </w:tcPr>
          <w:p w14:paraId="280EFF8A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11A3CA42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en-US"/>
              </w:rPr>
            </w:pPr>
            <w:r>
              <w:rPr>
                <w:rFonts w:hint="eastAsia"/>
                <w:spacing w:val="3"/>
                <w:lang w:val="en-US" w:eastAsia="zh-CN"/>
              </w:rPr>
              <w:t>4.</w:t>
            </w:r>
            <w:r>
              <w:rPr>
                <w:rFonts w:hint="eastAsia"/>
                <w:spacing w:val="3"/>
              </w:rPr>
              <w:t>节约及降低工程造价的保证措施（</w:t>
            </w:r>
            <w:r>
              <w:rPr>
                <w:rFonts w:hint="eastAsia"/>
                <w:spacing w:val="3"/>
                <w:lang w:val="en-US" w:eastAsia="zh-CN"/>
              </w:rPr>
              <w:t>6</w:t>
            </w:r>
            <w:r>
              <w:rPr>
                <w:rFonts w:hint="eastAsia"/>
                <w:spacing w:val="3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282DC5B2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eastAsia="zh-CN"/>
              </w:rPr>
            </w:pPr>
            <w:r>
              <w:rPr>
                <w:rFonts w:hint="eastAsia"/>
                <w:spacing w:val="3"/>
              </w:rPr>
              <w:t>设计实施方案充分考虑现有可利用的资源，在保证质量的前提下，合理降低工程造价的措施</w:t>
            </w:r>
            <w:r>
              <w:rPr>
                <w:rFonts w:hint="eastAsia"/>
                <w:spacing w:val="3"/>
                <w:lang w:eastAsia="zh-CN"/>
              </w:rPr>
              <w:t>。</w:t>
            </w:r>
          </w:p>
          <w:p w14:paraId="0FA437DC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en-US"/>
              </w:rPr>
            </w:pPr>
            <w:r>
              <w:rPr>
                <w:rFonts w:hint="eastAsia"/>
                <w:spacing w:val="3"/>
                <w:lang w:val="en-US" w:eastAsia="zh-CN"/>
              </w:rPr>
              <w:t>一般得0-2分，良得2-4分，优得4-6分，缺项不得分。</w:t>
            </w:r>
          </w:p>
        </w:tc>
      </w:tr>
      <w:tr w14:paraId="0CD0F6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</w:tcPr>
          <w:p w14:paraId="73C494E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54" w:type="dxa"/>
            <w:vMerge w:val="continue"/>
          </w:tcPr>
          <w:p w14:paraId="1A5CF41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53203923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en-US"/>
              </w:rPr>
            </w:pPr>
            <w:r>
              <w:rPr>
                <w:rFonts w:hint="eastAsia"/>
                <w:spacing w:val="3"/>
                <w:lang w:val="en-US" w:eastAsia="zh-CN"/>
              </w:rPr>
              <w:t>5.</w:t>
            </w:r>
            <w:r>
              <w:rPr>
                <w:rFonts w:hint="eastAsia"/>
                <w:spacing w:val="3"/>
              </w:rPr>
              <w:t>设计</w:t>
            </w:r>
            <w:r>
              <w:rPr>
                <w:rFonts w:hint="eastAsia"/>
                <w:spacing w:val="3"/>
                <w:lang w:val="en-US" w:eastAsia="zh-CN"/>
              </w:rPr>
              <w:t>成果</w:t>
            </w:r>
            <w:r>
              <w:rPr>
                <w:rFonts w:hint="eastAsia"/>
                <w:spacing w:val="3"/>
              </w:rPr>
              <w:t>质量保证措施（</w:t>
            </w:r>
            <w:r>
              <w:rPr>
                <w:rFonts w:hint="eastAsia"/>
                <w:spacing w:val="3"/>
                <w:lang w:val="en-US" w:eastAsia="zh-CN"/>
              </w:rPr>
              <w:t>6</w:t>
            </w:r>
            <w:r>
              <w:rPr>
                <w:rFonts w:hint="eastAsia"/>
                <w:spacing w:val="3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5EDE7D62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eastAsia="zh-CN"/>
              </w:rPr>
            </w:pPr>
            <w:r>
              <w:rPr>
                <w:rFonts w:hint="eastAsia"/>
                <w:spacing w:val="3"/>
              </w:rPr>
              <w:t>确保设计</w:t>
            </w:r>
            <w:r>
              <w:rPr>
                <w:rFonts w:hint="eastAsia"/>
                <w:spacing w:val="3"/>
                <w:lang w:val="en-US" w:eastAsia="zh-CN"/>
              </w:rPr>
              <w:t>成果</w:t>
            </w:r>
            <w:r>
              <w:rPr>
                <w:rFonts w:hint="eastAsia"/>
                <w:spacing w:val="3"/>
              </w:rPr>
              <w:t>质量的技术组织措施内容全面</w:t>
            </w:r>
            <w:r>
              <w:rPr>
                <w:rFonts w:hint="eastAsia"/>
                <w:spacing w:val="3"/>
                <w:lang w:eastAsia="zh-CN"/>
              </w:rPr>
              <w:t>，</w:t>
            </w:r>
            <w:r>
              <w:rPr>
                <w:rFonts w:hint="eastAsia"/>
                <w:spacing w:val="3"/>
              </w:rPr>
              <w:t>减少设计变更等措施方法可行</w:t>
            </w:r>
            <w:r>
              <w:rPr>
                <w:rFonts w:hint="eastAsia"/>
                <w:spacing w:val="3"/>
                <w:lang w:eastAsia="zh-CN"/>
              </w:rPr>
              <w:t>。</w:t>
            </w:r>
          </w:p>
          <w:p w14:paraId="33D3BFA2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en-US"/>
              </w:rPr>
            </w:pPr>
            <w:r>
              <w:rPr>
                <w:rFonts w:hint="eastAsia"/>
                <w:spacing w:val="3"/>
                <w:lang w:val="en-US" w:eastAsia="zh-CN"/>
              </w:rPr>
              <w:t>一般得0-2分，良得2-4分，优得4-6分，缺项不得分。</w:t>
            </w:r>
          </w:p>
        </w:tc>
      </w:tr>
      <w:tr w14:paraId="394913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96" w:type="dxa"/>
            <w:vMerge w:val="continue"/>
          </w:tcPr>
          <w:p w14:paraId="43546A1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154" w:type="dxa"/>
            <w:vMerge w:val="continue"/>
          </w:tcPr>
          <w:p w14:paraId="1EFF827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77" w:type="dxa"/>
            <w:gridSpan w:val="2"/>
            <w:shd w:val="clear" w:color="auto" w:fill="auto"/>
            <w:vAlign w:val="center"/>
          </w:tcPr>
          <w:p w14:paraId="6C0F04E1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en-US"/>
              </w:rPr>
            </w:pPr>
            <w:r>
              <w:rPr>
                <w:rFonts w:hint="eastAsia"/>
                <w:spacing w:val="3"/>
                <w:lang w:val="en-US" w:eastAsia="zh-CN"/>
              </w:rPr>
              <w:t>6.</w:t>
            </w:r>
            <w:r>
              <w:rPr>
                <w:rFonts w:hint="eastAsia"/>
                <w:spacing w:val="3"/>
              </w:rPr>
              <w:t>设计进度保证措施（</w:t>
            </w:r>
            <w:r>
              <w:rPr>
                <w:rFonts w:hint="eastAsia"/>
                <w:spacing w:val="3"/>
                <w:lang w:val="en-US" w:eastAsia="zh-CN"/>
              </w:rPr>
              <w:t>5</w:t>
            </w:r>
            <w:r>
              <w:rPr>
                <w:rFonts w:hint="eastAsia"/>
                <w:spacing w:val="3"/>
              </w:rPr>
              <w:t>分）</w:t>
            </w:r>
          </w:p>
        </w:tc>
        <w:tc>
          <w:tcPr>
            <w:tcW w:w="5741" w:type="dxa"/>
            <w:shd w:val="clear" w:color="auto" w:fill="auto"/>
            <w:vAlign w:val="center"/>
          </w:tcPr>
          <w:p w14:paraId="1CC3EEA7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eastAsia="zh-CN"/>
              </w:rPr>
            </w:pPr>
            <w:r>
              <w:rPr>
                <w:rFonts w:hint="eastAsia"/>
                <w:spacing w:val="3"/>
              </w:rPr>
              <w:t>设计实施方案有针对本项目所制定的设计进度安排</w:t>
            </w:r>
            <w:r>
              <w:rPr>
                <w:rFonts w:hint="eastAsia"/>
                <w:spacing w:val="3"/>
                <w:lang w:eastAsia="zh-CN"/>
              </w:rPr>
              <w:t>，且</w:t>
            </w:r>
            <w:r>
              <w:rPr>
                <w:rFonts w:hint="eastAsia"/>
                <w:spacing w:val="3"/>
              </w:rPr>
              <w:t>确保进度</w:t>
            </w:r>
            <w:r>
              <w:rPr>
                <w:rFonts w:hint="eastAsia"/>
                <w:spacing w:val="3"/>
                <w:lang w:eastAsia="zh-CN"/>
              </w:rPr>
              <w:t>的措施</w:t>
            </w:r>
            <w:r>
              <w:rPr>
                <w:rFonts w:hint="eastAsia"/>
                <w:spacing w:val="3"/>
              </w:rPr>
              <w:t>切实可行</w:t>
            </w:r>
            <w:r>
              <w:rPr>
                <w:rFonts w:hint="eastAsia"/>
                <w:spacing w:val="3"/>
                <w:lang w:eastAsia="zh-CN"/>
              </w:rPr>
              <w:t>。</w:t>
            </w:r>
          </w:p>
          <w:p w14:paraId="00E7559A">
            <w:pPr>
              <w:pStyle w:val="8"/>
              <w:spacing w:before="116" w:line="360" w:lineRule="auto"/>
              <w:ind w:left="10" w:right="5" w:hanging="2"/>
              <w:rPr>
                <w:rFonts w:hint="eastAsia"/>
                <w:spacing w:val="3"/>
                <w:lang w:val="en-US" w:eastAsia="en-US"/>
              </w:rPr>
            </w:pPr>
            <w:r>
              <w:rPr>
                <w:rFonts w:hint="eastAsia"/>
                <w:spacing w:val="3"/>
                <w:lang w:val="en-US" w:eastAsia="zh-CN"/>
              </w:rPr>
              <w:t>一般得0-2分，良得2-4分，优得4-5分，缺项不得分。</w:t>
            </w:r>
          </w:p>
        </w:tc>
      </w:tr>
      <w:tr w14:paraId="221D17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796" w:type="dxa"/>
            <w:vAlign w:val="center"/>
          </w:tcPr>
          <w:p w14:paraId="21DD7433">
            <w:pPr>
              <w:pStyle w:val="8"/>
              <w:spacing w:before="289" w:line="480" w:lineRule="auto"/>
              <w:jc w:val="center"/>
            </w:pPr>
            <w:r>
              <w:rPr>
                <w:spacing w:val="-4"/>
              </w:rPr>
              <w:t>序号</w:t>
            </w:r>
          </w:p>
        </w:tc>
        <w:tc>
          <w:tcPr>
            <w:tcW w:w="2931" w:type="dxa"/>
            <w:gridSpan w:val="3"/>
            <w:vAlign w:val="center"/>
          </w:tcPr>
          <w:p w14:paraId="49B89C1D">
            <w:pPr>
              <w:pStyle w:val="8"/>
              <w:spacing w:before="289" w:line="480" w:lineRule="auto"/>
              <w:jc w:val="center"/>
            </w:pPr>
            <w:r>
              <w:rPr>
                <w:spacing w:val="-3"/>
              </w:rPr>
              <w:t>评审因素</w:t>
            </w:r>
          </w:p>
        </w:tc>
        <w:tc>
          <w:tcPr>
            <w:tcW w:w="5741" w:type="dxa"/>
            <w:vAlign w:val="top"/>
          </w:tcPr>
          <w:p w14:paraId="47D2454F">
            <w:pPr>
              <w:pStyle w:val="8"/>
              <w:spacing w:before="289" w:line="480" w:lineRule="auto"/>
              <w:ind w:left="2396"/>
            </w:pPr>
            <w:r>
              <w:rPr>
                <w:spacing w:val="-3"/>
              </w:rPr>
              <w:t>评审标准</w:t>
            </w:r>
          </w:p>
        </w:tc>
      </w:tr>
      <w:tr w14:paraId="617972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</w:trPr>
        <w:tc>
          <w:tcPr>
            <w:tcW w:w="796" w:type="dxa"/>
            <w:vMerge w:val="restart"/>
            <w:tcBorders>
              <w:bottom w:val="nil"/>
            </w:tcBorders>
            <w:vAlign w:val="center"/>
          </w:tcPr>
          <w:p w14:paraId="2B4E07A2">
            <w:pPr>
              <w:pStyle w:val="8"/>
              <w:spacing w:before="78" w:line="242" w:lineRule="auto"/>
              <w:ind w:left="356"/>
              <w:jc w:val="both"/>
            </w:pPr>
            <w:r>
              <w:t>5</w:t>
            </w:r>
          </w:p>
        </w:tc>
        <w:tc>
          <w:tcPr>
            <w:tcW w:w="1279" w:type="dxa"/>
            <w:gridSpan w:val="2"/>
            <w:vMerge w:val="restart"/>
            <w:tcBorders>
              <w:bottom w:val="nil"/>
            </w:tcBorders>
            <w:vAlign w:val="center"/>
          </w:tcPr>
          <w:p w14:paraId="5CA668F6">
            <w:pPr>
              <w:pStyle w:val="8"/>
              <w:spacing w:before="78" w:line="361" w:lineRule="auto"/>
              <w:ind w:right="215"/>
              <w:jc w:val="center"/>
            </w:pPr>
            <w:r>
              <w:rPr>
                <w:spacing w:val="-7"/>
              </w:rPr>
              <w:t>综合部</w:t>
            </w:r>
            <w:r>
              <w:rPr>
                <w:spacing w:val="-3"/>
              </w:rPr>
              <w:t>分（30</w:t>
            </w:r>
            <w:r>
              <w:rPr>
                <w:spacing w:val="54"/>
              </w:rPr>
              <w:t>分）</w:t>
            </w:r>
          </w:p>
        </w:tc>
        <w:tc>
          <w:tcPr>
            <w:tcW w:w="1652" w:type="dxa"/>
            <w:vAlign w:val="center"/>
          </w:tcPr>
          <w:p w14:paraId="224EF10D">
            <w:pPr>
              <w:pStyle w:val="8"/>
              <w:spacing w:before="78" w:line="361" w:lineRule="auto"/>
              <w:ind w:right="380"/>
              <w:jc w:val="center"/>
              <w:rPr>
                <w:spacing w:val="-3"/>
              </w:rPr>
            </w:pPr>
            <w:r>
              <w:rPr>
                <w:spacing w:val="-3"/>
              </w:rPr>
              <w:t>企业资质</w:t>
            </w:r>
          </w:p>
          <w:p w14:paraId="3AA9984B">
            <w:pPr>
              <w:pStyle w:val="8"/>
              <w:spacing w:before="78" w:line="361" w:lineRule="auto"/>
              <w:ind w:right="380"/>
              <w:jc w:val="center"/>
            </w:pPr>
            <w:r>
              <w:rPr>
                <w:spacing w:val="-5"/>
              </w:rPr>
              <w:t>（10分）</w:t>
            </w:r>
          </w:p>
        </w:tc>
        <w:tc>
          <w:tcPr>
            <w:tcW w:w="5741" w:type="dxa"/>
            <w:vAlign w:val="top"/>
          </w:tcPr>
          <w:p w14:paraId="093CF586">
            <w:pPr>
              <w:pStyle w:val="8"/>
              <w:spacing w:before="118" w:line="328" w:lineRule="auto"/>
              <w:ind w:left="121" w:right="40" w:firstLine="17"/>
              <w:jc w:val="both"/>
              <w:rPr>
                <w:rFonts w:hint="eastAsia" w:eastAsia="FangSong_GB2312"/>
                <w:lang w:eastAsia="zh-CN"/>
              </w:rPr>
            </w:pPr>
            <w:r>
              <w:rPr>
                <w:rFonts w:hint="eastAsia"/>
                <w:spacing w:val="-11"/>
                <w:highlight w:val="none"/>
                <w:lang w:val="en-US" w:eastAsia="zh-CN"/>
              </w:rPr>
              <w:t>工程设计综合资质或</w:t>
            </w:r>
            <w:r>
              <w:rPr>
                <w:rFonts w:hint="eastAsia"/>
                <w:spacing w:val="-11"/>
                <w:highlight w:val="none"/>
              </w:rPr>
              <w:t>农林行业（农业综合开发生态工程）工程设计乙级及以上资质或农林行业（农业工程）乙级及以上资质</w:t>
            </w:r>
            <w:r>
              <w:rPr>
                <w:rFonts w:hint="eastAsia"/>
                <w:spacing w:val="-11"/>
                <w:highlight w:val="none"/>
                <w:lang w:val="en-US" w:eastAsia="zh-CN"/>
              </w:rPr>
              <w:t>或</w:t>
            </w:r>
            <w:r>
              <w:rPr>
                <w:rFonts w:hint="eastAsia"/>
                <w:spacing w:val="-11"/>
                <w:highlight w:val="none"/>
              </w:rPr>
              <w:t>水利行业（灌溉排涝专业）乙级及以上设计资质</w:t>
            </w:r>
            <w:r>
              <w:rPr>
                <w:rFonts w:hint="eastAsia"/>
                <w:spacing w:val="-11"/>
                <w:highlight w:val="none"/>
                <w:lang w:val="en-US" w:eastAsia="zh-CN"/>
              </w:rPr>
              <w:t>或</w:t>
            </w:r>
            <w:r>
              <w:rPr>
                <w:rFonts w:hint="eastAsia"/>
                <w:spacing w:val="-11"/>
                <w:highlight w:val="none"/>
              </w:rPr>
              <w:t>或水利行业乙级及以上设计资质</w:t>
            </w:r>
            <w:r>
              <w:rPr>
                <w:rFonts w:hint="eastAsia"/>
                <w:spacing w:val="-11"/>
                <w:highlight w:val="none"/>
                <w:lang w:val="en-US" w:eastAsia="zh-CN"/>
              </w:rPr>
              <w:t>得10</w:t>
            </w:r>
            <w:r>
              <w:rPr>
                <w:spacing w:val="-11"/>
                <w:highlight w:val="none"/>
              </w:rPr>
              <w:t>分</w:t>
            </w:r>
            <w:r>
              <w:rPr>
                <w:rFonts w:hint="eastAsia"/>
                <w:spacing w:val="-11"/>
                <w:highlight w:val="none"/>
                <w:lang w:eastAsia="zh-CN"/>
              </w:rPr>
              <w:t>。</w:t>
            </w:r>
          </w:p>
        </w:tc>
      </w:tr>
      <w:tr w14:paraId="4E94A8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796" w:type="dxa"/>
            <w:vMerge w:val="continue"/>
            <w:tcBorders>
              <w:top w:val="nil"/>
              <w:bottom w:val="nil"/>
            </w:tcBorders>
            <w:vAlign w:val="center"/>
          </w:tcPr>
          <w:p w14:paraId="78F8482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7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32F7BA3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652" w:type="dxa"/>
            <w:vAlign w:val="center"/>
          </w:tcPr>
          <w:p w14:paraId="31087BD0">
            <w:pPr>
              <w:pStyle w:val="8"/>
              <w:spacing w:before="78" w:line="361" w:lineRule="auto"/>
              <w:ind w:right="380"/>
              <w:jc w:val="center"/>
              <w:rPr>
                <w:spacing w:val="-3"/>
              </w:rPr>
            </w:pPr>
            <w:r>
              <w:rPr>
                <w:spacing w:val="-3"/>
              </w:rPr>
              <w:t>企业业绩</w:t>
            </w:r>
          </w:p>
          <w:p w14:paraId="1BC8A0B3">
            <w:pPr>
              <w:pStyle w:val="8"/>
              <w:spacing w:before="78" w:line="361" w:lineRule="auto"/>
              <w:ind w:right="380"/>
              <w:jc w:val="center"/>
            </w:pPr>
            <w:r>
              <w:rPr>
                <w:spacing w:val="-5"/>
              </w:rPr>
              <w:t>（10分）</w:t>
            </w:r>
          </w:p>
        </w:tc>
        <w:tc>
          <w:tcPr>
            <w:tcW w:w="5741" w:type="dxa"/>
            <w:vAlign w:val="top"/>
          </w:tcPr>
          <w:p w14:paraId="1B40CE47">
            <w:pPr>
              <w:pStyle w:val="8"/>
              <w:spacing w:before="118" w:line="336" w:lineRule="auto"/>
              <w:ind w:left="109" w:right="106" w:firstLine="10"/>
              <w:jc w:val="both"/>
            </w:pPr>
            <w:r>
              <w:rPr>
                <w:rFonts w:hint="eastAsia"/>
                <w:spacing w:val="-1"/>
                <w:lang w:val="en-US" w:eastAsia="zh-CN"/>
              </w:rPr>
              <w:t>具备</w:t>
            </w:r>
            <w:r>
              <w:rPr>
                <w:rFonts w:hint="eastAsia"/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1</w:t>
            </w:r>
            <w:r>
              <w:rPr>
                <w:rFonts w:hint="eastAsia"/>
                <w:spacing w:val="-1"/>
              </w:rPr>
              <w:t>年1月1日以来（以合同签订时间为准），具有单项合同额不低于</w:t>
            </w:r>
            <w:r>
              <w:rPr>
                <w:rFonts w:hint="eastAsia"/>
                <w:spacing w:val="-1"/>
                <w:lang w:val="en-US" w:eastAsia="zh-CN"/>
              </w:rPr>
              <w:t>20万</w:t>
            </w:r>
            <w:r>
              <w:rPr>
                <w:rFonts w:hint="eastAsia"/>
                <w:spacing w:val="-1"/>
              </w:rPr>
              <w:t>元</w:t>
            </w:r>
            <w:r>
              <w:rPr>
                <w:rFonts w:hint="eastAsia"/>
                <w:spacing w:val="-1"/>
                <w:lang w:val="en-US" w:eastAsia="zh-CN"/>
              </w:rPr>
              <w:t>或5000亩高标准农田、土地整治、农田整治、生态保护修复、垦造耕地类设计</w:t>
            </w:r>
            <w:r>
              <w:rPr>
                <w:rFonts w:hint="eastAsia"/>
                <w:spacing w:val="-1"/>
              </w:rPr>
              <w:t>业绩</w:t>
            </w:r>
            <w:r>
              <w:rPr>
                <w:spacing w:val="-1"/>
              </w:rPr>
              <w:t>，每提</w:t>
            </w:r>
            <w:r>
              <w:t>供一份有效业绩证明材料（</w:t>
            </w:r>
            <w:r>
              <w:rPr>
                <w:rFonts w:hint="eastAsia"/>
                <w:color w:val="auto"/>
                <w:highlight w:val="none"/>
              </w:rPr>
              <w:t>业绩提供业绩合同；以及中标公示公告或发票证明任意一项</w:t>
            </w:r>
            <w:r>
              <w:rPr>
                <w:spacing w:val="-4"/>
              </w:rPr>
              <w:t>）得2分，本项最高得10分。</w:t>
            </w:r>
          </w:p>
        </w:tc>
      </w:tr>
      <w:tr w14:paraId="1C235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3" w:hRule="atLeast"/>
        </w:trPr>
        <w:tc>
          <w:tcPr>
            <w:tcW w:w="796" w:type="dxa"/>
            <w:vMerge w:val="continue"/>
            <w:tcBorders>
              <w:top w:val="nil"/>
            </w:tcBorders>
            <w:vAlign w:val="center"/>
          </w:tcPr>
          <w:p w14:paraId="78F4DFF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79" w:type="dxa"/>
            <w:gridSpan w:val="2"/>
            <w:vMerge w:val="continue"/>
            <w:tcBorders>
              <w:top w:val="nil"/>
            </w:tcBorders>
            <w:vAlign w:val="center"/>
          </w:tcPr>
          <w:p w14:paraId="63FADFD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652" w:type="dxa"/>
            <w:vAlign w:val="center"/>
          </w:tcPr>
          <w:p w14:paraId="1D5C5BF2">
            <w:pPr>
              <w:pStyle w:val="8"/>
              <w:spacing w:before="78" w:line="361" w:lineRule="auto"/>
              <w:ind w:right="286"/>
              <w:jc w:val="center"/>
              <w:rPr>
                <w:spacing w:val="-3"/>
              </w:rPr>
            </w:pPr>
            <w:r>
              <w:rPr>
                <w:spacing w:val="-3"/>
              </w:rPr>
              <w:t>项目负责人</w:t>
            </w:r>
          </w:p>
          <w:p w14:paraId="4A9FC62B">
            <w:pPr>
              <w:pStyle w:val="8"/>
              <w:spacing w:before="78" w:line="361" w:lineRule="auto"/>
              <w:ind w:right="286"/>
              <w:jc w:val="center"/>
            </w:pPr>
            <w:r>
              <w:rPr>
                <w:spacing w:val="-4"/>
              </w:rPr>
              <w:t>（10分）</w:t>
            </w:r>
          </w:p>
        </w:tc>
        <w:tc>
          <w:tcPr>
            <w:tcW w:w="5741" w:type="dxa"/>
            <w:vAlign w:val="top"/>
          </w:tcPr>
          <w:p w14:paraId="7438939B">
            <w:pPr>
              <w:pStyle w:val="8"/>
              <w:spacing w:before="245" w:line="383" w:lineRule="auto"/>
              <w:ind w:left="113" w:right="109" w:firstLine="2"/>
            </w:pPr>
            <w:r>
              <w:rPr>
                <w:spacing w:val="-2"/>
              </w:rPr>
              <w:t>项目负责人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具有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水利或农林相关专业高级及以上技术职称的</w:t>
            </w:r>
            <w:r>
              <w:rPr>
                <w:spacing w:val="-2"/>
              </w:rPr>
              <w:t>得8分；需提供职称证书</w:t>
            </w:r>
            <w:r>
              <w:rPr>
                <w:rFonts w:hint="eastAsia"/>
                <w:spacing w:val="-2"/>
                <w:lang w:val="en-US" w:eastAsia="zh-CN"/>
              </w:rPr>
              <w:t>或</w:t>
            </w:r>
            <w:r>
              <w:rPr>
                <w:spacing w:val="-2"/>
              </w:rPr>
              <w:t>执业资格证书复印件、近</w:t>
            </w:r>
            <w:r>
              <w:rPr>
                <w:spacing w:val="-4"/>
              </w:rPr>
              <w:t>三个月社保证明。</w:t>
            </w:r>
            <w:r>
              <w:rPr>
                <w:spacing w:val="-2"/>
              </w:rPr>
              <w:t>同时</w:t>
            </w:r>
            <w:r>
              <w:rPr>
                <w:rFonts w:hint="eastAsia"/>
                <w:spacing w:val="-1"/>
              </w:rPr>
              <w:t>具有单项合同额不低于</w:t>
            </w:r>
            <w:r>
              <w:rPr>
                <w:rFonts w:hint="eastAsia"/>
                <w:spacing w:val="-1"/>
                <w:lang w:val="en-US" w:eastAsia="zh-CN"/>
              </w:rPr>
              <w:t>20万</w:t>
            </w:r>
            <w:r>
              <w:rPr>
                <w:rFonts w:hint="eastAsia"/>
                <w:spacing w:val="-1"/>
              </w:rPr>
              <w:t>元</w:t>
            </w:r>
            <w:r>
              <w:rPr>
                <w:rFonts w:hint="eastAsia"/>
                <w:spacing w:val="-1"/>
                <w:lang w:val="en-US" w:eastAsia="zh-CN"/>
              </w:rPr>
              <w:t>或5000亩高标准农田、土地整治、农田整治、生态保护修复、垦造耕地类设计</w:t>
            </w:r>
            <w:r>
              <w:rPr>
                <w:rFonts w:hint="eastAsia"/>
                <w:spacing w:val="-1"/>
              </w:rPr>
              <w:t>业绩</w:t>
            </w:r>
            <w:r>
              <w:rPr>
                <w:spacing w:val="-2"/>
              </w:rPr>
              <w:t>的加2分</w:t>
            </w:r>
            <w:r>
              <w:t>（</w:t>
            </w:r>
            <w:r>
              <w:rPr>
                <w:rFonts w:hint="eastAsia"/>
                <w:color w:val="auto"/>
                <w:highlight w:val="none"/>
              </w:rPr>
              <w:t>业绩提供业绩合同；以及中标公示公告或发票证明任意一项</w:t>
            </w:r>
            <w:r>
              <w:rPr>
                <w:spacing w:val="-4"/>
              </w:rPr>
              <w:t>）</w:t>
            </w:r>
            <w:r>
              <w:rPr>
                <w:spacing w:val="-2"/>
              </w:rPr>
              <w:t>。</w:t>
            </w:r>
          </w:p>
        </w:tc>
      </w:tr>
      <w:tr w14:paraId="4B2715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atLeast"/>
        </w:trPr>
        <w:tc>
          <w:tcPr>
            <w:tcW w:w="9468" w:type="dxa"/>
            <w:gridSpan w:val="5"/>
            <w:vAlign w:val="top"/>
          </w:tcPr>
          <w:p w14:paraId="32ACDAF1">
            <w:pPr>
              <w:pStyle w:val="8"/>
              <w:spacing w:before="118" w:line="329" w:lineRule="auto"/>
              <w:ind w:left="111" w:right="106"/>
              <w:jc w:val="both"/>
            </w:pPr>
            <w:r>
              <w:rPr>
                <w:spacing w:val="-3"/>
              </w:rPr>
              <w:t>供应商的最终得分：在各位评委完成对响应总报价、技术部分、综合部分的汇总后，评委打分的算术平均值，作为该供应商的最终得分。本办法计算过程中分值按四舍五入保留两</w:t>
            </w:r>
            <w:r>
              <w:rPr>
                <w:spacing w:val="-2"/>
              </w:rPr>
              <w:t>位小数。</w:t>
            </w:r>
          </w:p>
        </w:tc>
      </w:tr>
    </w:tbl>
    <w:p w14:paraId="7EFBFC48">
      <w:pPr>
        <w:rPr>
          <w:rFonts w:ascii="Arial"/>
          <w:sz w:val="21"/>
        </w:rPr>
      </w:pPr>
    </w:p>
    <w:sectPr>
      <w:footerReference r:id="rId6" w:type="default"/>
      <w:pgSz w:w="11906" w:h="16839"/>
      <w:pgMar w:top="1431" w:right="1008" w:bottom="1341" w:left="1424" w:header="0" w:footer="97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301F133-2C04-43CF-95B9-122B8D45A61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4CAB7FDC-DD46-4B30-8F21-7ADB0CFC82D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9245FBF9-EAC7-49D3-96C7-3E57F27E791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CC7F5">
    <w:pPr>
      <w:spacing w:line="235" w:lineRule="auto"/>
      <w:ind w:left="8046"/>
      <w:rPr>
        <w:rFonts w:ascii="FangSong_GB2312" w:hAnsi="FangSong_GB2312" w:eastAsia="FangSong_GB2312" w:cs="FangSong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8326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326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9DD578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53.8pt;mso-position-horizontal:center;mso-position-horizontal-relative:margin;z-index:251659264;mso-width-relative:page;mso-height-relative:page;" filled="f" stroked="f" coordsize="21600,21600" o:gfxdata="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LPvkGdQAAAAFAQAADwAAAAAAAAABACAAAAAiAAAAZHJzL2Rvd25yZXYueG1s&#10;UEsBAhQAFAAAAAgAh07iQGL3dO01AgAAYgQAAA4AAAAAAAAAAQAgAAAAI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9DD578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A9A74">
    <w:pPr>
      <w:spacing w:line="235" w:lineRule="auto"/>
      <w:rPr>
        <w:rFonts w:ascii="FangSong_GB2312" w:hAnsi="FangSong_GB2312" w:eastAsia="FangSong_GB2312" w:cs="FangSong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2009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C0641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56.7pt;mso-position-horizontal:center;mso-position-horizontal-relative:margin;z-index:251660288;mso-width-relative:page;mso-height-relative:page;" filled="f" stroked="f" coordsize="21600,21600" o:gfxdata="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PgIFx1AAAAAUBAAAPAAAAAAAAAAEAIAAAACIAAABkcnMvZG93bnJldi54&#10;bWxQSwECFAAUAAAACACHTuJAhTDAKTcCAABiBAAADgAAAAAAAAABACAAAAAj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C06417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FA1F99"/>
    <w:rsid w:val="025F42E5"/>
    <w:rsid w:val="076B1CFB"/>
    <w:rsid w:val="103769DF"/>
    <w:rsid w:val="116D508C"/>
    <w:rsid w:val="136A4479"/>
    <w:rsid w:val="1CC535C3"/>
    <w:rsid w:val="1ECB5101"/>
    <w:rsid w:val="266E6322"/>
    <w:rsid w:val="2B340561"/>
    <w:rsid w:val="35CD7D43"/>
    <w:rsid w:val="40F167F2"/>
    <w:rsid w:val="45835153"/>
    <w:rsid w:val="49C33B4A"/>
    <w:rsid w:val="4B8708D2"/>
    <w:rsid w:val="4D07114B"/>
    <w:rsid w:val="5BFD2097"/>
    <w:rsid w:val="5F44453C"/>
    <w:rsid w:val="61235CD8"/>
    <w:rsid w:val="61980C58"/>
    <w:rsid w:val="670E25DC"/>
    <w:rsid w:val="67936D55"/>
    <w:rsid w:val="6A5223C8"/>
    <w:rsid w:val="6B025962"/>
    <w:rsid w:val="6E95181D"/>
    <w:rsid w:val="75CA6914"/>
    <w:rsid w:val="75FD499F"/>
    <w:rsid w:val="771C79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paragraph" w:customStyle="1" w:styleId="9">
    <w:name w:val="Default"/>
    <w:basedOn w:val="10"/>
    <w:next w:val="1"/>
    <w:autoRedefine/>
    <w:qFormat/>
    <w:uiPriority w:val="0"/>
    <w:pPr>
      <w:autoSpaceDE w:val="0"/>
      <w:autoSpaceDN w:val="0"/>
      <w:adjustRightInd w:val="0"/>
    </w:pPr>
    <w:rPr>
      <w:rFonts w:hAnsi="Times New Roman" w:cs="宋体"/>
      <w:color w:val="000000"/>
      <w:sz w:val="24"/>
      <w:szCs w:val="24"/>
    </w:rPr>
  </w:style>
  <w:style w:type="paragraph" w:customStyle="1" w:styleId="10">
    <w:name w:val="Plain Text1"/>
    <w:basedOn w:val="1"/>
    <w:autoRedefine/>
    <w:qFormat/>
    <w:uiPriority w:val="0"/>
    <w:rPr>
      <w:rFonts w:ascii="宋体" w:hAnsi="Courier New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7d4c6c19-d435-4955-9431-34c402ab81b1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2627CE7A</paraID>
      <start>0</start>
      <end>1</end>
      <status>modified</status>
      <modifiedWord>（</modifiedWord>
      <trackRevisions>false</trackRevisions>
    </reviewItem>
    <reviewItem>
      <errorID>9ab0051f-0476-437f-8d20-4a7332c1eead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2627CE7A</paraID>
      <start>7</start>
      <end>8</end>
      <status>modified</status>
      <modifiedWord>）</modifiedWord>
      <trackRevisions>false</trackRevisions>
    </reviewItem>
    <reviewItem>
      <errorID>62117c35-e994-48a1-a639-2986c051d32d</errorID>
      <errorWord>（</errorWord>
      <group>L1_Punc</group>
      <groupName>标点问题</groupName>
      <ability>L2_Punc_CN</ability>
      <abilityName/>
      <candidateList/>
      <explain>同一形式括号套用。</explain>
      <paraID> 615558B</paraID>
      <start>18</start>
      <end>19</end>
      <status>ignored</status>
      <modifiedWord/>
      <trackRevisions>false</trackRevisions>
    </reviewItem>
    <reviewItem>
      <errorID>4c65fe33-6771-4b2f-8847-f5c03f0be357</errorID>
      <errorWord>）</errorWord>
      <group>L1_Punc</group>
      <groupName>标点问题</groupName>
      <ability>L2_Punc_CN</ability>
      <abilityName/>
      <candidateList/>
      <explain>同一形式括号套用。</explain>
      <paraID> 615558B</paraID>
      <start>24</start>
      <end>25</end>
      <status>ignored</status>
      <modifiedWord/>
      <trackRevisions>false</trackRevisions>
    </reviewItem>
    <reviewItem>
      <errorID>00f408b8-6990-4919-aee4-f63ef6f984ae</errorID>
      <errorWord>（</errorWord>
      <group>L1_Punc</group>
      <groupName>标点问题</groupName>
      <ability>L2_Punc_CN</ability>
      <abilityName/>
      <candidateList/>
      <explain>同一形式括号套用。</explain>
      <paraID>42A959E4</paraID>
      <start>18</start>
      <end>19</end>
      <status>ignored</status>
      <modifiedWord/>
      <trackRevisions>false</trackRevisions>
    </reviewItem>
    <reviewItem>
      <errorID>9f7f5334-2e18-46de-b2d9-282d24c5170e</errorID>
      <errorWord>）</errorWord>
      <group>L1_Punc</group>
      <groupName>标点问题</groupName>
      <ability>L2_Punc_CN</ability>
      <abilityName/>
      <candidateList/>
      <explain>同一形式括号套用。</explain>
      <paraID>42A959E4</paraID>
      <start>24</start>
      <end>25</end>
      <status>ignored</status>
      <modifiedWord/>
      <trackRevisions>false</trackRevisions>
    </reviewItem>
    <reviewItem>
      <errorID>d4f386f1-f88a-40b1-8de9-fe70618c1f7b</errorID>
      <errorWord>（</errorWord>
      <group>L1_Punc</group>
      <groupName>标点问题</groupName>
      <ability>L2_Punc_CN</ability>
      <abilityName/>
      <candidateList/>
      <explain>同一形式括号套用。</explain>
      <paraID>37B506F7</paraID>
      <start>18</start>
      <end>19</end>
      <status>ignored</status>
      <modifiedWord/>
      <trackRevisions>false</trackRevisions>
    </reviewItem>
    <reviewItem>
      <errorID>fe4fcac9-bc8e-46b8-bad5-7748acdc14ee</errorID>
      <errorWord>）</errorWord>
      <group>L1_Punc</group>
      <groupName>标点问题</groupName>
      <ability>L2_Punc_CN</ability>
      <abilityName/>
      <candidateList/>
      <explain>同一形式括号套用。</explain>
      <paraID>37B506F7</paraID>
      <start>24</start>
      <end>25</end>
      <status>ignored</status>
      <modifiedWord/>
      <trackRevisions>false</trackRevisions>
    </reviewItem>
    <reviewItem>
      <errorID>8c35942e-be66-4ef0-880f-bbe9e951204b</errorID>
      <errorWord>二位</errorWord>
      <group>L1_Word</group>
      <groupName>字词问题</groupName>
      <ability>L2_Typo</ability>
      <abilityName>字词错误</abilityName>
      <candidateList>
        <item>两位</item>
      </candidateList>
      <explain/>
      <paraID>60CA9568</paraID>
      <start>12</start>
      <end>14</end>
      <status>modified</status>
      <modifiedWord>两位</modifiedWord>
      <trackRevisions>false</trackRevisions>
    </reviewItem>
    <reviewItem>
      <errorID>556bcdd1-2d6f-4823-89b1-aaa29f391e6a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4CA56E5D</paraID>
      <start>53</start>
      <end>54</end>
      <status>modified</status>
      <modifiedWord>—</modifiedWord>
      <trackRevisions>false</trackRevisions>
    </reviewItem>
    <reviewItem>
      <errorID>39d78ba5-827f-4412-b276-2de20030ee7a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4CA56E5D</paraID>
      <start>72</start>
      <end>73</end>
      <status>modified</status>
      <modifiedWord>—</modifiedWord>
      <trackRevisions>false</trackRevisions>
    </reviewItem>
    <reviewItem>
      <errorID>b6f16197-4e93-4f5d-b9c1-bf30528f7f2e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4CA56E5D</paraID>
      <start>88</start>
      <end>89</end>
      <status>modified</status>
      <modifiedWord>—</modifiedWord>
      <trackRevisions>false</trackRevisions>
    </reviewItem>
    <reviewItem>
      <errorID>3f14ad40-86cc-4199-96df-c14076b4800b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1B4A8DAC</paraID>
      <start>84</start>
      <end>85</end>
      <status>modified</status>
      <modifiedWord>—</modifiedWord>
      <trackRevisions>false</trackRevisions>
    </reviewItem>
    <reviewItem>
      <errorID>5538803a-bf00-4712-bbce-3e21243a0cf1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1B4A8DAC</paraID>
      <start>101</start>
      <end>102</end>
      <status>modified</status>
      <modifiedWord>—</modifiedWord>
      <trackRevisions>false</trackRevisions>
    </reviewItem>
    <reviewItem>
      <errorID>909ab0a8-2e91-45df-bcda-b86f618b07e2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4690AFC5</paraID>
      <start>68</start>
      <end>69</end>
      <status>modified</status>
      <modifiedWord>—</modifiedWord>
      <trackRevisions>false</trackRevisions>
    </reviewItem>
    <reviewItem>
      <errorID>f861ead8-3107-4dc6-b238-9f01aca41571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4690AFC5</paraID>
      <start>84</start>
      <end>85</end>
      <status>modified</status>
      <modifiedWord>—</modifiedWord>
      <trackRevisions>false</trackRevisions>
    </reviewItem>
    <reviewItem>
      <errorID>42a13622-2dbd-480d-a48b-bf3b9e7a5aa6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457B0B90</paraID>
      <start>88</start>
      <end>89</end>
      <status>modified</status>
      <modifiedWord>—</modifiedWord>
      <trackRevisions>false</trackRevisions>
    </reviewItem>
    <reviewItem>
      <errorID>426bcdf2-8e52-4c33-9b43-26575c59bd84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457B0B90</paraID>
      <start>108</start>
      <end>109</end>
      <status>modified</status>
      <modifiedWord>—</modifiedWord>
      <trackRevisions>false</trackRevisions>
    </reviewItem>
    <reviewItem>
      <errorID>6ef3ab38-d709-4400-96c6-9c3b8c4c2bc1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55B040B2</paraID>
      <start>70</start>
      <end>71</end>
      <status>modified</status>
      <modifiedWord>—</modifiedWord>
      <trackRevisions>false</trackRevisions>
    </reviewItem>
    <reviewItem>
      <errorID>9f956ff9-f4a0-4eec-8554-307c94c4d2b3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55B040B2</paraID>
      <start>88</start>
      <end>89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19c1739-94d8-47a9-be4f-a79803daa8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1696</Words>
  <Characters>1786</Characters>
  <TotalTime>8</TotalTime>
  <ScaleCrop>false</ScaleCrop>
  <LinksUpToDate>false</LinksUpToDate>
  <CharactersWithSpaces>1786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2026-06-26T17:57:00Z</dcterms:created>
  <dc:creator>1</dc:creator>
  <cp:lastModifiedBy>陈光</cp:lastModifiedBy>
  <dcterms:modified xsi:type="dcterms:W3CDTF">2026-08-25T01:26:52Z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2026-06-29T16:41:31Z</vt:filetime>
  </property>
  <property fmtid="{D5CDD505-2E9C-101B-9397-08002B2CF9AE}" pid="4" name="KSOTemplateDocerSaveRecord">
    <vt:lpwstr>eyJoZGlkIjoiNDM3OTc5ODUxMTE2YmM0YjY5YzkwMjIyOTFhZGNkYmEiLCJ1c2VySWQiOiIxOTcxMTY2MDIifQ==</vt:lpwstr>
  </property>
  <property fmtid="{D5CDD505-2E9C-101B-9397-08002B2CF9AE}" pid="5" name="KSOProductBuildVer">
    <vt:lpwstr>2052-12.1.0.28043</vt:lpwstr>
  </property>
  <property fmtid="{D5CDD505-2E9C-101B-9397-08002B2CF9AE}" pid="6" name="ICV">
    <vt:lpwstr>CA864E80E6414EA8BDFC4DD002176687_13</vt:lpwstr>
  </property>
</Properties>
</file>