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D3E015">
      <w:pPr>
        <w:pStyle w:val="2"/>
        <w:bidi w:val="0"/>
        <w:spacing w:after="313" w:afterLines="1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评审规则</w:t>
      </w:r>
    </w:p>
    <w:tbl>
      <w:tblPr>
        <w:tblStyle w:val="10"/>
        <w:tblW w:w="9086" w:type="dxa"/>
        <w:tblInd w:w="-108" w:type="dxa"/>
        <w:tblBorders>
          <w:top w:val="single" w:color="auto" w:sz="40" w:space="0"/>
          <w:left w:val="single" w:color="auto" w:sz="40" w:space="0"/>
          <w:bottom w:val="single" w:color="auto" w:sz="40" w:space="0"/>
          <w:right w:val="single" w:color="auto" w:sz="40" w:space="0"/>
          <w:insideH w:val="single" w:color="auto" w:sz="40" w:space="0"/>
          <w:insideV w:val="single" w:color="auto" w:sz="4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2"/>
        <w:gridCol w:w="1302"/>
        <w:gridCol w:w="1610"/>
        <w:gridCol w:w="5382"/>
      </w:tblGrid>
      <w:tr w14:paraId="242A0D2E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05" w:hRule="atLeast"/>
          <w:tblHeader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3F35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2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3114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评审因素</w:t>
            </w:r>
          </w:p>
        </w:tc>
        <w:tc>
          <w:tcPr>
            <w:tcW w:w="5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0A90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评审标准</w:t>
            </w:r>
          </w:p>
        </w:tc>
      </w:tr>
      <w:tr w14:paraId="304DC350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10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05E2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B15F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分值构成</w:t>
            </w:r>
          </w:p>
          <w:p w14:paraId="1F92E6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总分100分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F93D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60" w:lineRule="auto"/>
              <w:ind w:left="0" w:leftChars="0" w:right="0" w:rightChars="0" w:firstLine="240" w:firstLineChars="1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报价部分：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35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</w:t>
            </w:r>
          </w:p>
          <w:p w14:paraId="5BB709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60" w:lineRule="auto"/>
              <w:ind w:left="0" w:leftChars="0" w:right="0" w:rightChars="0" w:firstLine="240" w:firstLineChars="1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技术部分：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35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</w:t>
            </w:r>
            <w:bookmarkStart w:id="0" w:name="_GoBack"/>
            <w:bookmarkEnd w:id="0"/>
          </w:p>
          <w:p w14:paraId="5C8E47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360" w:lineRule="auto"/>
              <w:ind w:left="0" w:leftChars="0" w:right="0" w:rightChars="0" w:firstLine="240" w:firstLineChars="1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综合部分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：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30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</w:t>
            </w:r>
          </w:p>
        </w:tc>
      </w:tr>
      <w:tr w14:paraId="374BAF1F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19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D5E8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</w:t>
            </w:r>
          </w:p>
        </w:tc>
        <w:tc>
          <w:tcPr>
            <w:tcW w:w="2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E2D8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评审基准价计算方法</w:t>
            </w:r>
          </w:p>
        </w:tc>
        <w:tc>
          <w:tcPr>
            <w:tcW w:w="5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F99D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60" w:lineRule="exact"/>
              <w:ind w:left="113" w:leftChars="0" w:right="113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有效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律所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报价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：通过初步评审（形式评审、资格评审、响应性评审）的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律所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的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响应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总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报价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含税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。</w:t>
            </w:r>
          </w:p>
          <w:p w14:paraId="686741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60" w:lineRule="exact"/>
              <w:ind w:left="113" w:leftChars="0" w:right="113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（1）当通过初步评审的单位数量在5家以上时，采用二次平均的办法计算评审基准价。即有效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律所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的响应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总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报价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含税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去掉一个最高报价和一个最低报价的算术平均值为一次平均值，该平均值及以下的响应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总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报价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含税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（含等于一次平均值的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律所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响应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总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报价，不含一次平均值计算过程中去掉的一个最低报价）算术平均值为评审基准价。</w:t>
            </w:r>
          </w:p>
          <w:p w14:paraId="4834D6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60" w:lineRule="exact"/>
              <w:ind w:left="113" w:leftChars="0" w:right="113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（2）当通过初步评审的单位数量在5家及以下的，采用一次平均的方法计算评审基准价，评审基准价为所有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律所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响应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总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报价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含税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的算术平均值。</w:t>
            </w:r>
          </w:p>
        </w:tc>
      </w:tr>
      <w:tr w14:paraId="4E405224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429" w:hRule="atLeast"/>
        </w:trPr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F5731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2.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93492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响应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总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报价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含税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的偏差率计算公式</w:t>
            </w:r>
          </w:p>
        </w:tc>
        <w:tc>
          <w:tcPr>
            <w:tcW w:w="538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FC710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60" w:lineRule="exact"/>
              <w:ind w:left="113" w:leftChars="0" w:right="113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偏差率=100%×（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律所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响应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总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报价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含税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－评标基准价）/评标基准价</w:t>
            </w:r>
          </w:p>
        </w:tc>
      </w:tr>
      <w:tr w14:paraId="56E22059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433" w:hRule="atLeast"/>
        </w:trPr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2D07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FADB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报价部分（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35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分）</w:t>
            </w:r>
          </w:p>
        </w:tc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E034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4"/>
                <w:szCs w:val="24"/>
              </w:rPr>
              <w:t>报价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得分</w:t>
            </w:r>
          </w:p>
          <w:p w14:paraId="16A245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35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分）</w:t>
            </w:r>
          </w:p>
        </w:tc>
        <w:tc>
          <w:tcPr>
            <w:tcW w:w="5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FEF7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60" w:lineRule="exact"/>
              <w:ind w:left="113" w:leftChars="0" w:right="113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（1）当有效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律所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响应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总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报价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含税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等于评标基准价时，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律所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得满分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35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分；</w:t>
            </w:r>
          </w:p>
          <w:p w14:paraId="1F83BA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60" w:lineRule="exact"/>
              <w:ind w:left="113" w:leftChars="0" w:right="113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（2）当响应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总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报价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含税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高于评标基准价时，按每高于评标基准价1%扣1分的比例在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35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分的基础上进行扣分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最多扣5分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。</w:t>
            </w:r>
          </w:p>
          <w:p w14:paraId="3DD039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60" w:lineRule="exact"/>
              <w:ind w:left="113" w:leftChars="0" w:right="113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报价得分=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35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分-（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律所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响应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总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报价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含税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-评标基准价）/评标基准价×1×100；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最低得分30分。</w:t>
            </w:r>
          </w:p>
          <w:p w14:paraId="75E251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60" w:lineRule="exact"/>
              <w:ind w:left="113" w:leftChars="0" w:right="113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（3）当响应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总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报价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含税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低于评标基准价时，按每低于评标基准价1%扣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分的比例在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35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分的基础上进行扣分，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最多扣5分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。</w:t>
            </w:r>
          </w:p>
          <w:p w14:paraId="2F4DBD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60" w:lineRule="exact"/>
              <w:ind w:left="113" w:leftChars="0" w:right="113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报价得分=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35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分+（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律所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响应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总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报价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含税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-评标基准价）/评标基准价×0.5×100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最低得分30分。</w:t>
            </w:r>
          </w:p>
          <w:p w14:paraId="51E384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60" w:lineRule="exact"/>
              <w:ind w:left="113" w:leftChars="0" w:right="113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备注：数值精度为小数点后二位，第三位小数进行四舍五入。</w:t>
            </w:r>
          </w:p>
        </w:tc>
      </w:tr>
      <w:tr w14:paraId="4856614A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34" w:hRule="atLeast"/>
        </w:trPr>
        <w:tc>
          <w:tcPr>
            <w:tcW w:w="7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B631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30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E1C1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yellow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技术部分（</w:t>
            </w:r>
            <w:r>
              <w:rPr>
                <w:rFonts w:hint="eastAsia" w:ascii="仿宋_GB2312" w:hAnsi="仿宋_GB2312" w:cs="仿宋_GB2312"/>
                <w:bCs/>
                <w:sz w:val="24"/>
                <w:szCs w:val="24"/>
                <w:lang w:val="en-US" w:eastAsia="zh-CN"/>
              </w:rPr>
              <w:t>35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分）</w:t>
            </w:r>
          </w:p>
        </w:tc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7B68E5">
            <w:pPr>
              <w:pStyle w:val="1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napToGrid w:val="0"/>
              <w:spacing w:beforeLines="0" w:afterLines="0" w:line="360" w:lineRule="auto"/>
              <w:ind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项目理解与分析</w:t>
            </w:r>
          </w:p>
          <w:p w14:paraId="69C2D9B9">
            <w:pPr>
              <w:pStyle w:val="1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napToGrid w:val="0"/>
              <w:spacing w:beforeLines="0" w:afterLines="0" w:line="360" w:lineRule="auto"/>
              <w:ind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yellow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（</w:t>
            </w:r>
            <w:r>
              <w:rPr>
                <w:rFonts w:hint="eastAsia" w:ascii="仿宋_GB2312" w:hAnsi="仿宋_GB2312" w:cs="仿宋_GB2312"/>
                <w:kern w:val="2"/>
                <w:sz w:val="24"/>
                <w:szCs w:val="24"/>
                <w:lang w:val="en-US" w:eastAsia="zh-CN" w:bidi="ar-SA"/>
              </w:rPr>
              <w:t>10</w:t>
            </w: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分）</w:t>
            </w:r>
          </w:p>
        </w:tc>
        <w:tc>
          <w:tcPr>
            <w:tcW w:w="5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6FD2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60" w:lineRule="exact"/>
              <w:ind w:left="113" w:leftChars="0" w:right="113" w:rightChars="0" w:firstLine="480" w:firstLineChars="2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根据律所对本项目背景、郑州航空港兴港电力有限公司 1% 股权收购交易目的、标的股权权属、权利负担情况、破产财产处置程序、股东优先购买权行使、国资监管及集团投资管理要求等方面的理解深度进行打分。理解全面深入、分析透彻的得7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-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10 分；理解较为全面、分析合理的得4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-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6 分；理解一般、分析较浅的得1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-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3分；未提供或严重偏离的得0分。</w:t>
            </w:r>
          </w:p>
        </w:tc>
      </w:tr>
      <w:tr w14:paraId="1989A6C4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34" w:hRule="atLeast"/>
        </w:trPr>
        <w:tc>
          <w:tcPr>
            <w:tcW w:w="7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BD42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D1C4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45FA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服务方案</w:t>
            </w:r>
          </w:p>
          <w:p w14:paraId="14DF90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分）</w:t>
            </w:r>
          </w:p>
        </w:tc>
        <w:tc>
          <w:tcPr>
            <w:tcW w:w="5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578D2D">
            <w:pPr>
              <w:pStyle w:val="3"/>
              <w:ind w:left="113" w:right="113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律所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提供的法律尽职调查工作方案进行打分，包括工作思路、法律尽调范围、核查方法、团队分工、进度计划、交易结构设计、商务谈判等。方案科学合理、思路清晰、可操作性强的得5分；方案较合理、基本可行的得3－4分；方案一般、可行性较差的得1－2分；未提供的得0分。</w:t>
            </w:r>
          </w:p>
        </w:tc>
      </w:tr>
      <w:tr w14:paraId="2828B562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34" w:hRule="atLeast"/>
        </w:trPr>
        <w:tc>
          <w:tcPr>
            <w:tcW w:w="7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DD35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E061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39F51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质量保证措施</w:t>
            </w:r>
          </w:p>
          <w:p w14:paraId="13A2E52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（5分）</w:t>
            </w:r>
          </w:p>
        </w:tc>
        <w:tc>
          <w:tcPr>
            <w:tcW w:w="5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1CF353">
            <w:pPr>
              <w:pStyle w:val="3"/>
              <w:ind w:left="113" w:right="113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律所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提供的成果质量控制措施、内部审核机制、评审保障手段等进行打分。措施完善、机制健全、保障有力的得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分；措施较完善、基本可行的得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3-4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分；措施一般、保障较弱的得1-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分；未提供的得0分。</w:t>
            </w:r>
          </w:p>
        </w:tc>
      </w:tr>
      <w:tr w14:paraId="3536D6BE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34" w:hRule="atLeast"/>
        </w:trPr>
        <w:tc>
          <w:tcPr>
            <w:tcW w:w="7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D412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6ABA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2569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进度保障措施</w:t>
            </w:r>
          </w:p>
          <w:p w14:paraId="5127C7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eastAsia" w:ascii="仿宋_GB2312" w:hAnsi="仿宋_GB2312" w:cs="仿宋_GB2312"/>
                <w:kern w:val="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分）</w:t>
            </w:r>
          </w:p>
        </w:tc>
        <w:tc>
          <w:tcPr>
            <w:tcW w:w="5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9F555F">
            <w:pPr>
              <w:pStyle w:val="3"/>
              <w:ind w:left="113" w:right="113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律所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提供的服务期限承诺及进度保障措施进行打分，包括进度安排合理性、关键节点控制、逾期风险应对等。进度安排科学、保障措施具体的得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分；进度安排较合理、有基本保障措施的得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-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分；进度安排一般、保障措施较弱的得1-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分；未提供的得0分。</w:t>
            </w:r>
          </w:p>
        </w:tc>
      </w:tr>
      <w:tr w14:paraId="4707BA1A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705" w:hRule="atLeast"/>
        </w:trPr>
        <w:tc>
          <w:tcPr>
            <w:tcW w:w="7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23C2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58A5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2691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后续服务承诺</w:t>
            </w:r>
          </w:p>
          <w:p w14:paraId="0533B3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分）</w:t>
            </w:r>
          </w:p>
        </w:tc>
        <w:tc>
          <w:tcPr>
            <w:tcW w:w="53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60ADA0">
            <w:pPr>
              <w:pStyle w:val="3"/>
              <w:autoSpaceDE/>
              <w:autoSpaceDN/>
              <w:adjustRightInd/>
              <w:ind w:left="113" w:right="113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根据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律所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提供的后续技术支持、评审配合、报批协助等服务承诺进行打分。承诺内容具体、响应及时、服务周到的得5分；承诺较具体、基本满足需求的得3-4分；承诺一般、服务保障较弱的得1-2分；未提供的得0分。</w:t>
            </w:r>
          </w:p>
        </w:tc>
      </w:tr>
      <w:tr w14:paraId="6492B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8" w:hRule="atLeast"/>
        </w:trPr>
        <w:tc>
          <w:tcPr>
            <w:tcW w:w="792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EBCB5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302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24502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highlight w:val="none"/>
                <w:lang w:eastAsia="zh-CN"/>
              </w:rPr>
              <w:t>综合部分</w:t>
            </w:r>
          </w:p>
          <w:p w14:paraId="223D98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highlight w:val="none"/>
              </w:rPr>
              <w:t>（</w:t>
            </w:r>
            <w:r>
              <w:rPr>
                <w:rFonts w:hint="eastAsia" w:ascii="仿宋_GB2312" w:hAnsi="仿宋_GB2312" w:cs="仿宋_GB2312"/>
                <w:bCs/>
                <w:sz w:val="24"/>
                <w:szCs w:val="24"/>
                <w:highlight w:val="none"/>
                <w:lang w:val="en-US" w:eastAsia="zh-CN"/>
              </w:rPr>
              <w:t>30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highlight w:val="none"/>
              </w:rPr>
              <w:t>分）</w:t>
            </w:r>
          </w:p>
        </w:tc>
        <w:tc>
          <w:tcPr>
            <w:tcW w:w="161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02F1DF3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 w:bidi="ar"/>
              </w:rPr>
              <w:t>企业资质</w:t>
            </w:r>
          </w:p>
          <w:p w14:paraId="46BDFF7B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（</w:t>
            </w:r>
            <w:r>
              <w:rPr>
                <w:rFonts w:hint="eastAsia" w:ascii="仿宋_GB2312" w:hAnsi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分）</w:t>
            </w:r>
          </w:p>
        </w:tc>
        <w:tc>
          <w:tcPr>
            <w:tcW w:w="538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226941F">
            <w:pPr>
              <w:pStyle w:val="3"/>
              <w:ind w:left="113" w:right="113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bidi="ar-SA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供应商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具有司法行政机关颁发的律师事务所执业许可证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且执业时间超过15年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得6分；具有从事证券法律业务备案、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/>
              </w:rPr>
              <w:t>破产管理人资格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具有在省级或市级律师协会担任副会长以上职务律师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的，每具备一项加2分，最高加4分。需提供证书或文件复印件并加盖公章。</w:t>
            </w:r>
          </w:p>
        </w:tc>
      </w:tr>
      <w:tr w14:paraId="56C71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79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DDA93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0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961A3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1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1C9FA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企业业绩</w:t>
            </w:r>
          </w:p>
          <w:p w14:paraId="4D69DB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（</w:t>
            </w:r>
            <w:r>
              <w:rPr>
                <w:rFonts w:hint="eastAsia" w:ascii="仿宋_GB2312" w:hAnsi="仿宋_GB2312" w:cs="仿宋_GB2312"/>
                <w:bCs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分）</w:t>
            </w:r>
          </w:p>
        </w:tc>
        <w:tc>
          <w:tcPr>
            <w:tcW w:w="538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4BDDD0A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480" w:firstLineChars="2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近</w:t>
            </w:r>
            <w:r>
              <w:rPr>
                <w:rFonts w:hint="eastAsia" w:ascii="仿宋_GB2312" w:hAnsi="仿宋_GB2312" w:cs="仿宋_GB2312"/>
                <w:kern w:val="2"/>
                <w:sz w:val="24"/>
                <w:szCs w:val="24"/>
                <w:lang w:val="en-US" w:eastAsia="zh-CN" w:bidi="ar-SA"/>
              </w:rPr>
              <w:t>五</w:t>
            </w: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年（自202</w:t>
            </w:r>
            <w:r>
              <w:rPr>
                <w:rFonts w:hint="eastAsia" w:ascii="仿宋_GB2312" w:hAnsi="仿宋_GB2312" w:cs="仿宋_GB2312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年9月1日以来）承接过破产财产处置相关法律尽职调查、作为破产管理人</w:t>
            </w:r>
            <w:r>
              <w:rPr>
                <w:rFonts w:hint="eastAsia" w:ascii="仿宋_GB2312" w:hAnsi="仿宋_GB2312" w:cs="仿宋_GB2312"/>
                <w:kern w:val="2"/>
                <w:sz w:val="24"/>
                <w:szCs w:val="24"/>
                <w:lang w:val="en-US" w:eastAsia="zh-CN" w:bidi="ar-SA"/>
              </w:rPr>
              <w:t>开展业务</w:t>
            </w: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的，每提供一份有效业绩证明材料（合同或法律意见书、法院裁定书、批复文件复印件，加盖单位公章）得1分，本项最高得10分。</w:t>
            </w:r>
          </w:p>
        </w:tc>
      </w:tr>
      <w:tr w14:paraId="32C93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7" w:hRule="atLeast"/>
        </w:trPr>
        <w:tc>
          <w:tcPr>
            <w:tcW w:w="79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D6329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0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608D7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1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081FB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项目负责人</w:t>
            </w:r>
          </w:p>
          <w:p w14:paraId="7C54C0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（</w:t>
            </w:r>
            <w:r>
              <w:rPr>
                <w:rFonts w:hint="default" w:ascii="仿宋_GB2312" w:hAnsi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10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分）</w:t>
            </w:r>
          </w:p>
        </w:tc>
        <w:tc>
          <w:tcPr>
            <w:tcW w:w="538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BC850FF">
            <w:pPr>
              <w:pStyle w:val="9"/>
              <w:spacing w:after="0"/>
              <w:ind w:left="0" w:leftChars="0" w:firstLine="480" w:firstLineChars="200"/>
              <w:rPr>
                <w:rFonts w:hint="eastAsia" w:ascii="仿宋_GB2312" w:hAnsi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项目负责人具有一级律师职称的得</w:t>
            </w:r>
            <w:r>
              <w:rPr>
                <w:rFonts w:hint="eastAsia" w:ascii="仿宋_GB2312" w:hAnsi="仿宋_GB2312" w:cs="仿宋_GB2312"/>
                <w:kern w:val="2"/>
                <w:sz w:val="24"/>
                <w:szCs w:val="24"/>
                <w:lang w:val="en-US" w:eastAsia="zh-CN" w:bidi="ar-SA"/>
              </w:rPr>
              <w:t>3</w:t>
            </w: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分；具有二级律师职称的得</w:t>
            </w:r>
            <w:r>
              <w:rPr>
                <w:rFonts w:hint="eastAsia" w:ascii="仿宋_GB2312" w:hAnsi="仿宋_GB2312" w:cs="仿宋_GB2312"/>
                <w:kern w:val="2"/>
                <w:sz w:val="24"/>
                <w:szCs w:val="24"/>
                <w:lang w:val="en-US" w:eastAsia="zh-CN" w:bidi="ar-SA"/>
              </w:rPr>
              <w:t>2</w:t>
            </w: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分</w:t>
            </w:r>
            <w:r>
              <w:rPr>
                <w:rFonts w:hint="eastAsia" w:ascii="仿宋_GB2312" w:hAnsi="仿宋_GB2312" w:cs="仿宋_GB2312"/>
                <w:kern w:val="2"/>
                <w:sz w:val="24"/>
                <w:szCs w:val="24"/>
                <w:lang w:val="en-US" w:eastAsia="zh-CN" w:bidi="ar-SA"/>
              </w:rPr>
              <w:t>，其他不加分。</w:t>
            </w:r>
          </w:p>
          <w:p w14:paraId="512BDF4C">
            <w:pPr>
              <w:pStyle w:val="9"/>
              <w:spacing w:after="0"/>
              <w:ind w:left="0" w:leftChars="0" w:firstLine="480" w:firstLineChars="200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kern w:val="2"/>
                <w:sz w:val="24"/>
                <w:szCs w:val="24"/>
                <w:lang w:val="en-US" w:eastAsia="zh-CN" w:bidi="ar-SA"/>
              </w:rPr>
              <w:t>主办律师近五年（自2021年9月1日以来）具备破产财产处置、股权收购相关法律尽职调查业绩的，每提供一份有效业绩证明材料得1分，最高得5分；同时持有会计师或税务师等财务类资格认证的再加2分。需提供律师执业证书、相关资格证书复印件、近三个月社保证明。</w:t>
            </w:r>
          </w:p>
        </w:tc>
      </w:tr>
      <w:tr w14:paraId="3650A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</w:trPr>
        <w:tc>
          <w:tcPr>
            <w:tcW w:w="9086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EE065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360" w:lineRule="auto"/>
              <w:ind w:left="0" w:leftChars="0" w:right="0" w:righ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律所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的最终得分：在各位评委完成对响应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总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报价、技术部分、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综合部分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的汇总后，评委打分的算术平均值，作为该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律所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的最终得分。本办法计算过程中分值按四舍五入保留两位小数。</w:t>
            </w:r>
          </w:p>
        </w:tc>
      </w:tr>
    </w:tbl>
    <w:p w14:paraId="0A8EDF65">
      <w:pPr>
        <w:rPr>
          <w:rFonts w:hint="default"/>
          <w:lang w:val="en-US" w:eastAsia="zh-CN"/>
        </w:rPr>
      </w:pPr>
    </w:p>
    <w:p w14:paraId="0A286F63"/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AECA76">
    <w:pPr>
      <w:pStyle w:val="6"/>
      <w:rPr>
        <w:rFonts w:ascii="宋体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45E379">
                          <w:pPr>
                            <w:pStyle w:val="6"/>
                            <w:wordWrap w:val="0"/>
                            <w:ind w:left="0" w:leftChars="0" w:firstLine="0" w:firstLineChars="0"/>
                            <w:jc w:val="both"/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en-US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en-US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en-US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val="en-US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845E379">
                    <w:pPr>
                      <w:pStyle w:val="6"/>
                      <w:wordWrap w:val="0"/>
                      <w:ind w:left="0" w:leftChars="0" w:firstLine="0" w:firstLineChars="0"/>
                      <w:jc w:val="both"/>
                      <w:rPr>
                        <w:rFonts w:hint="eastAsia" w:ascii="宋体" w:hAnsi="宋体" w:cs="宋体"/>
                        <w:sz w:val="28"/>
                        <w:szCs w:val="28"/>
                        <w:lang w:val="en-US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val="en-US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val="en-US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val="en-US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val="en-US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val="en-US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val="en-US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61298E">
    <w:pPr>
      <w:pStyle w:val="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9C75F3">
    <w:pPr>
      <w:pStyle w:val="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9104B6">
    <w:pPr>
      <w:pStyle w:val="7"/>
      <w:pBdr>
        <w:bottom w:val="none" w:color="auto" w:sz="0" w:space="1"/>
      </w:pBdr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4B86BE">
    <w:pPr>
      <w:pStyle w:val="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4936D8">
    <w:pPr>
      <w:pStyle w:val="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05EA8"/>
    <w:rsid w:val="05FF2A8D"/>
    <w:rsid w:val="0D1B78D2"/>
    <w:rsid w:val="0FE73F81"/>
    <w:rsid w:val="10313F83"/>
    <w:rsid w:val="15DB4A6A"/>
    <w:rsid w:val="1AE0665B"/>
    <w:rsid w:val="1C3B7A96"/>
    <w:rsid w:val="1DCD2CBC"/>
    <w:rsid w:val="24CF1C50"/>
    <w:rsid w:val="2CFD7726"/>
    <w:rsid w:val="2D435610"/>
    <w:rsid w:val="31C51E84"/>
    <w:rsid w:val="33686F6B"/>
    <w:rsid w:val="3A40479E"/>
    <w:rsid w:val="40467019"/>
    <w:rsid w:val="4B5D2CD5"/>
    <w:rsid w:val="4CB43672"/>
    <w:rsid w:val="4CFB27A6"/>
    <w:rsid w:val="54540F1F"/>
    <w:rsid w:val="60253797"/>
    <w:rsid w:val="60FF240D"/>
    <w:rsid w:val="61C54BE1"/>
    <w:rsid w:val="66C85073"/>
    <w:rsid w:val="72842772"/>
    <w:rsid w:val="72DA74D6"/>
    <w:rsid w:val="73732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420" w:firstLineChars="200"/>
      <w:jc w:val="both"/>
    </w:pPr>
    <w:rPr>
      <w:rFonts w:ascii="Times New Roman" w:hAnsi="Times New Roman" w:eastAsia="仿宋_GB2312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0" w:firstLineChars="0"/>
      <w:jc w:val="center"/>
      <w:outlineLvl w:val="0"/>
    </w:pPr>
    <w:rPr>
      <w:rFonts w:eastAsia="方正小标宋简体"/>
      <w:kern w:val="44"/>
      <w:sz w:val="44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next w:val="1"/>
    <w:qFormat/>
    <w:uiPriority w:val="0"/>
    <w:pPr>
      <w:jc w:val="left"/>
    </w:pPr>
  </w:style>
  <w:style w:type="paragraph" w:styleId="4">
    <w:name w:val="Body Text"/>
    <w:basedOn w:val="1"/>
    <w:next w:val="1"/>
    <w:qFormat/>
    <w:uiPriority w:val="0"/>
    <w:pPr>
      <w:spacing w:after="120" w:afterLines="0" w:afterAutospacing="0"/>
    </w:pPr>
  </w:style>
  <w:style w:type="paragraph" w:styleId="5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Body Text First Indent"/>
    <w:basedOn w:val="4"/>
    <w:next w:val="9"/>
    <w:qFormat/>
    <w:uiPriority w:val="0"/>
    <w:pPr>
      <w:ind w:firstLine="420" w:firstLineChars="100"/>
    </w:pPr>
  </w:style>
  <w:style w:type="paragraph" w:styleId="9">
    <w:name w:val="Body Text First Indent 2"/>
    <w:basedOn w:val="5"/>
    <w:next w:val="1"/>
    <w:qFormat/>
    <w:uiPriority w:val="0"/>
    <w:pPr>
      <w:ind w:firstLine="420" w:firstLineChars="200"/>
    </w:pPr>
  </w:style>
  <w:style w:type="paragraph" w:customStyle="1" w:styleId="12">
    <w:name w:val=" Char"/>
    <w:basedOn w:val="1"/>
    <w:unhideWhenUsed/>
    <w:qFormat/>
    <w:uiPriority w:val="0"/>
    <w:pPr>
      <w:spacing w:beforeLines="0" w:afterLines="0"/>
    </w:pPr>
    <w:rPr>
      <w:rFonts w:hint="default"/>
      <w:sz w:val="21"/>
    </w:rPr>
  </w:style>
  <w:style w:type="paragraph" w:customStyle="1" w:styleId="13">
    <w:name w:val="表格字体-居中"/>
    <w:basedOn w:val="1"/>
    <w:next w:val="1"/>
    <w:qFormat/>
    <w:uiPriority w:val="0"/>
    <w:pPr>
      <w:jc w:val="center"/>
    </w:pPr>
    <w:rPr>
      <w:rFonts w:ascii="Calibri" w:hAnsi="Calibri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da4789b4-3c2e-48cd-af95-f026d69fea9a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1F92E674</paraID>
      <start>0</start>
      <end>2</end>
      <status>modified</status>
      <modifiedWord>（</modifiedWord>
      <trackRevisions>true</trackRevisions>
    </reviewItem>
    <reviewItem>
      <errorID>33ea7836-3793-4173-b22d-a75cf5cd469e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1F92E674</paraID>
      <start>8</start>
      <end>10</end>
      <status>modified</status>
      <modifiedWord>）</modifiedWord>
      <trackRevisions>true</trackRevisions>
    </reviewItem>
    <reviewItem>
      <errorID>e0c1192f-e940-4c26-81d2-f2d54b22636e</errorID>
      <errorWord>（</errorWord>
      <group>L1_Punc</group>
      <groupName>标点问题</groupName>
      <ability>L2_Punc_CN</ability>
      <abilityName>标点符号问题</abilityName>
      <candidateList/>
      <explain>同一形式括号套用。</explain>
      <paraID>1FC71055</paraID>
      <start>17</start>
      <end>18</end>
      <status>ignored</status>
      <modifiedWord/>
      <trackRevisions>false</trackRevisions>
    </reviewItem>
    <reviewItem>
      <errorID>0f4e87c2-d29e-4b0d-8093-f5037c3e270d</errorID>
      <errorWord>）</errorWord>
      <group>L1_Punc</group>
      <groupName>标点问题</groupName>
      <ability>L2_Punc_CN</ability>
      <abilityName>标点符号问题</abilityName>
      <candidateList/>
      <explain>同一形式括号套用。</explain>
      <paraID>1FC71055</paraID>
      <start>20</start>
      <end>21</end>
      <status>ignored</status>
      <modifiedWord/>
      <trackRevisions>false</trackRevisions>
    </reviewItem>
    <reviewItem>
      <errorID>08a0505c-e61a-4481-8f24-b601e9f09191</errorID>
      <errorWord>评标基准价）/评标</errorWord>
      <group>L1_Word</group>
      <groupName>字词问题</groupName>
      <ability>L2_Typo</ability>
      <abilityName>字词错误</abilityName>
      <candidateList>
        <item>评审基准价）/评审</item>
      </candidateList>
      <explain/>
      <paraID>1FC71055</paraID>
      <start>22</start>
      <end>31</end>
      <status>ignored</status>
      <modifiedWord/>
      <trackRevisions>false</trackRevisions>
    </reviewItem>
    <reviewItem>
      <errorID>2682bbbd-db8a-44a5-9d58-4496ee3afd95</errorID>
      <errorWord>（</errorWord>
      <group>L1_Punc</group>
      <groupName>标点问题</groupName>
      <ability>L2_Punc_CN</ability>
      <abilityName>标点符号问题</abilityName>
      <candidateList/>
      <explain>同一形式括号套用。</explain>
      <paraID>3DD03983</paraID>
      <start>17</start>
      <end>18</end>
      <status>unmodified</status>
      <modifiedWord/>
      <trackRevisions>false</trackRevisions>
    </reviewItem>
    <reviewItem>
      <errorID>25600de2-ef25-47e6-81cc-752135d8cd6f</errorID>
      <errorWord>）</errorWord>
      <group>L1_Punc</group>
      <groupName>标点问题</groupName>
      <ability>L2_Punc_CN</ability>
      <abilityName>标点符号问题</abilityName>
      <candidateList/>
      <explain>同一形式括号套用。</explain>
      <paraID>3DD03983</paraID>
      <start>20</start>
      <end>21</end>
      <status>unmodified</status>
      <modifiedWord/>
      <trackRevisions>false</trackRevisions>
    </reviewItem>
    <reviewItem>
      <errorID>bd7267f3-7708-4770-aa98-28cdd9f41e38</errorID>
      <errorWord>评标基准价）/评标</errorWord>
      <group>L1_Word</group>
      <groupName>字词问题</groupName>
      <ability>L2_Typo</ability>
      <abilityName>字词错误</abilityName>
      <candidateList>
        <item>评审基准价）/评审</item>
      </candidateList>
      <explain/>
      <paraID>3DD03983</paraID>
      <start>22</start>
      <end>31</end>
      <status>unmodified</status>
      <modifiedWord/>
      <trackRevisions>false</trackRevisions>
    </reviewItem>
    <reviewItem>
      <errorID>b2c4a94a-3e30-44be-a6f8-198a1683e358</errorID>
      <errorWord>（</errorWord>
      <group>L1_Punc</group>
      <groupName>标点问题</groupName>
      <ability>L2_Punc_CN</ability>
      <abilityName>标点符号问题</abilityName>
      <candidateList/>
      <explain>同一形式括号套用。</explain>
      <paraID>2F4DBD40</paraID>
      <start>17</start>
      <end>18</end>
      <status>unmodified</status>
      <modifiedWord/>
      <trackRevisions>false</trackRevisions>
    </reviewItem>
    <reviewItem>
      <errorID>b9f233cf-84eb-40e0-ad39-35c1c93ce2bf</errorID>
      <errorWord>）</errorWord>
      <group>L1_Punc</group>
      <groupName>标点问题</groupName>
      <ability>L2_Punc_CN</ability>
      <abilityName>标点符号问题</abilityName>
      <candidateList/>
      <explain>同一形式括号套用。</explain>
      <paraID>2F4DBD40</paraID>
      <start>20</start>
      <end>21</end>
      <status>unmodified</status>
      <modifiedWord/>
      <trackRevisions>false</trackRevisions>
    </reviewItem>
    <reviewItem>
      <errorID>f64a35b6-d21f-40e5-a899-c18c0582f51a</errorID>
      <errorWord>评标基准价）/评标</errorWord>
      <group>L1_Word</group>
      <groupName>字词问题</groupName>
      <ability>L2_Typo</ability>
      <abilityName>字词错误</abilityName>
      <candidateList>
        <item>评审基准价）/评审</item>
      </candidateList>
      <explain/>
      <paraID>2F4DBD40</paraID>
      <start>22</start>
      <end>31</end>
      <status>unmodified</status>
      <modifiedWord/>
      <trackRevisions>false</trackRevisions>
    </reviewItem>
    <reviewItem>
      <errorID>e945a432-500b-48d7-8949-7b4282546072</errorID>
      <errorWord>小数点后二位，第三位</errorWord>
      <group>L1_Word</group>
      <groupName>字词问题</groupName>
      <ability>L2_Typo</ability>
      <abilityName>字词错误</abilityName>
      <candidateList>
        <item>小数点后两位，第三位</item>
      </candidateList>
      <explain/>
      <paraID>51E384DD</paraID>
      <start>8</start>
      <end>18</end>
      <status>unmodified</status>
      <modifiedWord/>
      <trackRevisions>false</trackRevisions>
    </reviewItem>
    <reviewItem>
      <errorID>9290d4eb-3c46-4cf8-9fe4-488f4fcf07c3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3F6FD23E</paraID>
      <start>147</start>
      <end>148</end>
      <status>unmodified</status>
      <modifiedWord/>
      <trackRevisions>false</trackRevisions>
    </reviewItem>
    <reviewItem>
      <errorID>0ed7efb8-a009-4d4b-bfe0-3cb04b329c04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21CF353</paraID>
      <start>67</start>
      <end>68</end>
      <status>unmodified</status>
      <modifiedWord/>
      <trackRevisions>false</trackRevisions>
    </reviewItem>
    <reviewItem>
      <errorID>9f2927c1-134a-4d53-b243-f803e4bc19ec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21CF353</paraID>
      <start>83</start>
      <end>84</end>
      <status>unmodified</status>
      <modifiedWord/>
      <trackRevisions>false</trackRevisions>
    </reviewItem>
    <reviewItem>
      <errorID>d1930eaa-9fd9-451b-88d8-99f61ce37959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499F555F</paraID>
      <start>87</start>
      <end>88</end>
      <status>unmodified</status>
      <modifiedWord/>
      <trackRevisions>false</trackRevisions>
    </reviewItem>
    <reviewItem>
      <errorID>0232cf44-b299-4ee7-b5b4-72231bf3c247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499F555F</paraID>
      <start>107</start>
      <end>108</end>
      <status>unmodified</status>
      <modifiedWord/>
      <trackRevisions>false</trackRevisions>
    </reviewItem>
    <reviewItem>
      <errorID>27d6816e-319c-43d7-b4e1-b2a5323bf12a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2660ADA0</paraID>
      <start>69</start>
      <end>70</end>
      <status>unmodified</status>
      <modifiedWord/>
      <trackRevisions>false</trackRevisions>
    </reviewItem>
    <reviewItem>
      <errorID>e6613025-4fbe-4715-9ea8-4d037a4c0b09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2660ADA0</paraID>
      <start>87</start>
      <end>88</end>
      <status>unmodified</status>
      <modifiedWord/>
      <trackRevisions>false</trackRevisions>
    </reviewItem>
    <reviewItem>
      <errorID>537174ef-2748-4abf-9cf7-21b2ebe19892</errorID>
      <errorWord>具有</errorWord>
      <group>L1_Grammar</group>
      <groupName>语法问题</groupName>
      <ability>L2_Grammar</ability>
      <abilityName>语法错误</abilityName>
      <candidateList>
        <item>，且具有</item>
      </candidateList>
      <explain/>
      <paraID>7226941F</paraID>
      <start>58</start>
      <end>60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4e02c71-05eb-40bb-8f3f-5e19f1c4446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1769</Words>
  <Characters>1835</Characters>
  <Lines>0</Lines>
  <Paragraphs>0</Paragraphs>
  <TotalTime>74</TotalTime>
  <ScaleCrop>false</ScaleCrop>
  <LinksUpToDate>false</LinksUpToDate>
  <CharactersWithSpaces>1839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2026-06-25T08:33:00Z</dcterms:created>
  <dc:creator>1</dc:creator>
  <cp:lastModifiedBy>梦尘</cp:lastModifiedBy>
  <cp:lastPrinted>2026-09-17T00:51:00Z</cp:lastPrinted>
  <dcterms:modified xsi:type="dcterms:W3CDTF">2026-09-17T02:11:31Z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2052-12.1.0.28792</vt:lpwstr>
  </property>
  <property fmtid="{D5CDD505-2E9C-101B-9397-08002B2CF9AE}" pid="3" name="KSOTemplateDocerSaveRecord">
    <vt:lpwstr>eyJoZGlkIjoiNGMyM2RhMTgwZjVmMjIyZTExYTZjMGJhMjNkN2NmZjEiLCJ1c2VySWQiOiI2NTU1NDIwMTQifQ==</vt:lpwstr>
  </property>
  <property fmtid="{D5CDD505-2E9C-101B-9397-08002B2CF9AE}" pid="4" name="ICV">
    <vt:lpwstr>AEB9407024974B1FA633A1955EA72BA9_13</vt:lpwstr>
  </property>
</Properties>
</file>