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3E015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评审规则</w:t>
      </w:r>
    </w:p>
    <w:tbl>
      <w:tblPr>
        <w:tblStyle w:val="11"/>
        <w:tblW w:w="9464" w:type="dxa"/>
        <w:tblInd w:w="-108" w:type="dxa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2"/>
        <w:gridCol w:w="1155"/>
        <w:gridCol w:w="1778"/>
        <w:gridCol w:w="5739"/>
      </w:tblGrid>
      <w:tr w14:paraId="242A0D2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5" w:hRule="atLeast"/>
          <w:tblHeader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F3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11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评审因素</w:t>
            </w:r>
          </w:p>
        </w:tc>
        <w:tc>
          <w:tcPr>
            <w:tcW w:w="5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A9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评审标准</w:t>
            </w:r>
          </w:p>
        </w:tc>
      </w:tr>
      <w:tr w14:paraId="304DC35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5E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15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分值构成</w:t>
            </w:r>
          </w:p>
          <w:p w14:paraId="1F92E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(总分100分)</w:t>
            </w:r>
          </w:p>
        </w:tc>
        <w:tc>
          <w:tcPr>
            <w:tcW w:w="5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93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报价部分：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  <w:p w14:paraId="5BB70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技术部分：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  <w:p w14:paraId="5C8E4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综合部分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</w:tc>
      </w:tr>
      <w:tr w14:paraId="374BAF1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68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5E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2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2D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评审基准价计算方法</w:t>
            </w:r>
          </w:p>
        </w:tc>
        <w:tc>
          <w:tcPr>
            <w:tcW w:w="5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99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：通过初步评审（形式评审、资格评审、响应性评审）的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68674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（1）当通过初步评审的单位数量在5家以上时，采用二次平均的办法计算评审基准价。即有效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去掉一个最高报价和一个最低报价的算术平均值为一次平均值，该平均值及以下的响应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（含等于一次平均值的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报价，不含一次平均值计算过程中去掉的一个最低报价）算术平均值为评审基准价。</w:t>
            </w:r>
          </w:p>
          <w:p w14:paraId="4834D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（2）当通过初步评审的单位数量在5家及以下的，采用一次平均的方法计算评审基准价，评审基准价为所有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的算术平均值。</w:t>
            </w:r>
          </w:p>
        </w:tc>
      </w:tr>
      <w:tr w14:paraId="4E40522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1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573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349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的偏差率计算公式</w:t>
            </w:r>
          </w:p>
        </w:tc>
        <w:tc>
          <w:tcPr>
            <w:tcW w:w="57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C71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偏差率=100%×（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－评标基准价）/评标基准价</w:t>
            </w:r>
          </w:p>
        </w:tc>
      </w:tr>
      <w:tr w14:paraId="56E2205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3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D0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AD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报价部分（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03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得分</w:t>
            </w:r>
          </w:p>
          <w:p w14:paraId="16A24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89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本项目采用综合评分法，报价部分满分为35分。有效律所响应总报价（含税）与评标基准价比较，按以下规则计算得分：</w:t>
            </w:r>
          </w:p>
          <w:p w14:paraId="40816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（1）当有效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等于评标基准价时，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得满分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</w:t>
            </w:r>
          </w:p>
          <w:p w14:paraId="18B9F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（2）当响应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高于评标基准价时，按每高于评标基准价1%扣1分的比例在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分的基础上进行扣分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最多扣5分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136FF8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报价得分=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分-（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-评标基准价）/评标基准价×1×100；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最低得分30分。</w:t>
            </w:r>
          </w:p>
          <w:p w14:paraId="19AC0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（3）当响应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低于评标基准价时，按每低于评标基准价1%扣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分的比例在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分的基础上进行扣分，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最多扣5分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20353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报价得分=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+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-评标基准价）/评标基准价×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×100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最低得分30分。</w:t>
            </w:r>
          </w:p>
          <w:p w14:paraId="73F67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备注：数值精度为小数点后二位，第三位小数进行四舍五入。</w:t>
            </w:r>
          </w:p>
        </w:tc>
      </w:tr>
      <w:tr w14:paraId="4856614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63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1C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技术部分（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分）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B68E5">
            <w:pPr>
              <w:pStyle w:val="1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beforeLines="0" w:afterLines="0" w:line="360" w:lineRule="auto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项目理解与分析</w:t>
            </w:r>
          </w:p>
          <w:p w14:paraId="69C2D9B9">
            <w:pPr>
              <w:pStyle w:val="1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beforeLines="0" w:afterLines="0" w:line="360" w:lineRule="auto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FD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对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国有企业股权收购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国有产权公开进场交易程序、国资监管要求等方面的理解深度进行打分。理解全面深入、分析透彻的得7－10分；理解较为全面、分析合理的得4－6分；理解一般、分析较浅的得1－3分；未提供或严重偏离的得0分。</w:t>
            </w:r>
          </w:p>
        </w:tc>
      </w:tr>
      <w:tr w14:paraId="1989A6C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D4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1C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5F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服务方案</w:t>
            </w:r>
          </w:p>
          <w:p w14:paraId="14DF9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78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法律尽职调查工作方案进行打分，包括工作思路、法律尽调范围、核查方法、团队分工、进度计划、交易结构设计、商务谈判等。方案科学合理、思路清晰、可操作性强的得5分；方案较合理、基本可行的得3－4分；方案一般、可行性较差的得1－2分；未提供的得0分。</w:t>
            </w:r>
          </w:p>
        </w:tc>
      </w:tr>
      <w:tr w14:paraId="2828B5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D3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06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9F5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质量保证措施</w:t>
            </w:r>
          </w:p>
          <w:p w14:paraId="13A2E5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（5分）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CF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提供的成果质量控制措施、内部审核机制、评审保障手段等进行打分。措施完善、机制健全、保障有力的得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分；措施较完善、基本可行的得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3-4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分；措施一般、保障较弱的得1-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分；未提供的得0分。</w:t>
            </w:r>
          </w:p>
        </w:tc>
      </w:tr>
      <w:tr w14:paraId="3536D6B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41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AB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56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进度保障措施</w:t>
            </w:r>
          </w:p>
          <w:p w14:paraId="5127C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F5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提供的服务期限承诺及进度保障措施进行打分，包括进度安排合理性、关键节点控制、逾期风险应对等。进度安排科学、保障措施具体的得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分；进度安排较合理、有基本保障措施的得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分；进度安排一般、保障措施较弱的得1-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分；未提供的得0分。</w:t>
            </w:r>
          </w:p>
        </w:tc>
      </w:tr>
      <w:tr w14:paraId="4707BA1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05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3C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8A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69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后续服务承诺</w:t>
            </w:r>
          </w:p>
          <w:p w14:paraId="0533B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0A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提供的后续技术支持、评审配合、报批协助等服务承诺进行打分。承诺内容具体、响应及时、服务周到的得5分；承诺较具体、基本满足需求的得3-4分；承诺一般、服务保障较弱的得1-2分；未提供的得0分。</w:t>
            </w:r>
          </w:p>
        </w:tc>
      </w:tr>
      <w:tr w14:paraId="6492B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79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BCB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5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3D9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eastAsia="zh-CN"/>
              </w:rPr>
              <w:t>综合部分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177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2F1DF3"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企业资质</w:t>
            </w:r>
          </w:p>
          <w:p w14:paraId="46BDFF7B"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269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具有司法行政机关颁发的律师事务所执业许可证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且执业时间超过20年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且处于正常执业状态得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超过10年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且处于正常执业状态得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5分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；在过往执业过程中，不得存在被司法行政机关行政处罚或律师协会行业处分的不良记录。</w:t>
            </w:r>
          </w:p>
        </w:tc>
      </w:tr>
      <w:tr w14:paraId="56C7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A9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61A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C9F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企业业绩</w:t>
            </w:r>
          </w:p>
          <w:p w14:paraId="4D69D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BDDD0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近五年（自2021年9月1日以来）承接过国有企业法律尽职调查业绩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或政府及</w:t>
            </w:r>
            <w:bookmarkStart w:id="0" w:name="_GoBack"/>
            <w:bookmarkEnd w:id="0"/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国有企业法律顾问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的，每提供一份有效业绩证明材料（合同或法律意见书复印件，加盖公章）得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分，本项最高得</w:t>
            </w: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分</w:t>
            </w:r>
          </w:p>
        </w:tc>
      </w:tr>
      <w:tr w14:paraId="32C93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632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08D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81F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项目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成员</w:t>
            </w:r>
          </w:p>
          <w:p w14:paraId="7C54C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Fonts w:hint="default" w:ascii="仿宋_GB2312" w:hAnsi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C850FF">
            <w:pPr>
              <w:pStyle w:val="10"/>
              <w:ind w:left="0" w:leftChars="0" w:firstLine="0" w:firstLineChars="0"/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项目负责人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是合伙人且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具有律师职称的得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分；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项目成员具有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律师职称的得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分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，其他不加分。</w:t>
            </w:r>
          </w:p>
          <w:p w14:paraId="512BDF4C">
            <w:pPr>
              <w:pStyle w:val="10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主办律师近五年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（自2021年9月1日以来）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具备政府、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国有企业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或金融机构法律顾问、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法律尽职调查业绩的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每提供一份有效业绩证明材料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得1分，最高得5分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。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需提供相关证明材料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、近三个月社保证明。</w:t>
            </w:r>
          </w:p>
        </w:tc>
      </w:tr>
      <w:tr w14:paraId="3650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946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E06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的最终得分：在各位评委完成对响应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报价、技术部分、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综合部分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的汇总后，评委打分的算术平均值，作为该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的最终得分。本办法计算过程中分值按四舍五入保留两位小数。</w:t>
            </w:r>
          </w:p>
        </w:tc>
      </w:tr>
    </w:tbl>
    <w:p w14:paraId="0A8EDF65">
      <w:pPr>
        <w:rPr>
          <w:rFonts w:hint="default"/>
          <w:lang w:val="en-US" w:eastAsia="zh-CN"/>
        </w:rPr>
      </w:pPr>
    </w:p>
    <w:p w14:paraId="0A286F63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ECA76">
    <w:pPr>
      <w:pStyle w:val="6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5E379">
                          <w:pPr>
                            <w:pStyle w:val="6"/>
                            <w:wordWrap w:val="0"/>
                            <w:ind w:left="0" w:leftChars="0" w:firstLine="0" w:firstLineChars="0"/>
                            <w:jc w:val="both"/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5E379">
                    <w:pPr>
                      <w:pStyle w:val="6"/>
                      <w:wordWrap w:val="0"/>
                      <w:ind w:left="0" w:leftChars="0" w:firstLine="0" w:firstLineChars="0"/>
                      <w:jc w:val="both"/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298E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C75F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104B6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B86BE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936D8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05EA8"/>
    <w:rsid w:val="0A4643ED"/>
    <w:rsid w:val="0D1B78D2"/>
    <w:rsid w:val="0FE73F81"/>
    <w:rsid w:val="1FEFA3C6"/>
    <w:rsid w:val="24CF1C50"/>
    <w:rsid w:val="2CFD7726"/>
    <w:rsid w:val="309C4B4F"/>
    <w:rsid w:val="3A40479E"/>
    <w:rsid w:val="40467019"/>
    <w:rsid w:val="47A4144A"/>
    <w:rsid w:val="50434D22"/>
    <w:rsid w:val="5CFB3B49"/>
    <w:rsid w:val="61C54BE1"/>
    <w:rsid w:val="63366B40"/>
    <w:rsid w:val="66C85073"/>
    <w:rsid w:val="74DD2349"/>
    <w:rsid w:val="7BCA7693"/>
    <w:rsid w:val="E7F788A0"/>
    <w:rsid w:val="ECD710AF"/>
    <w:rsid w:val="FCDBFBD3"/>
    <w:rsid w:val="FD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next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4"/>
    <w:next w:val="10"/>
    <w:qFormat/>
    <w:uiPriority w:val="0"/>
    <w:pPr>
      <w:ind w:firstLine="420" w:firstLineChars="100"/>
    </w:pPr>
  </w:style>
  <w:style w:type="paragraph" w:styleId="10">
    <w:name w:val="Body Text First Indent 2"/>
    <w:basedOn w:val="5"/>
    <w:next w:val="1"/>
    <w:qFormat/>
    <w:uiPriority w:val="0"/>
    <w:pPr>
      <w:ind w:firstLine="420" w:firstLineChars="200"/>
    </w:pPr>
  </w:style>
  <w:style w:type="paragraph" w:customStyle="1" w:styleId="13">
    <w:name w:val=" Char"/>
    <w:basedOn w:val="1"/>
    <w:unhideWhenUsed/>
    <w:qFormat/>
    <w:uiPriority w:val="0"/>
    <w:pPr>
      <w:spacing w:beforeLines="0" w:afterLines="0"/>
    </w:pPr>
    <w:rPr>
      <w:rFonts w:hint="default"/>
      <w:sz w:val="21"/>
    </w:rPr>
  </w:style>
  <w:style w:type="paragraph" w:customStyle="1" w:styleId="14">
    <w:name w:val="表格字体-居中"/>
    <w:basedOn w:val="1"/>
    <w:next w:val="1"/>
    <w:qFormat/>
    <w:uiPriority w:val="0"/>
    <w:pPr>
      <w:jc w:val="center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1724</Words>
  <Characters>1784</Characters>
  <Lines>0</Lines>
  <Paragraphs>0</Paragraphs>
  <TotalTime>44</TotalTime>
  <ScaleCrop>false</ScaleCrop>
  <LinksUpToDate>false</LinksUpToDate>
  <CharactersWithSpaces>1784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2026-06-26T08:33:00Z</dcterms:created>
  <dc:creator>1</dc:creator>
  <cp:lastModifiedBy>登录请选这个号_20260809223236</cp:lastModifiedBy>
  <cp:lastPrinted>2026-09-24T02:42:00Z</cp:lastPrinted>
  <dcterms:modified xsi:type="dcterms:W3CDTF">2026-09-24T04:08:33Z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eyJoZGlkIjoiMmNlNzczZTlmOTJlOTdkZGEyYmI4NWRhYTBjOWZhNWMiLCJ1c2VySWQiOiIxNzYzOTMyNTA0In0=</vt:lpwstr>
  </property>
  <property fmtid="{D5CDD505-2E9C-101B-9397-08002B2CF9AE}" pid="4" name="ICV">
    <vt:lpwstr>E38CC2F0C6274516903C5C214830DF1A_13</vt:lpwstr>
  </property>
</Properties>
</file>