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4B961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6CAABF9">
      <w:pPr>
        <w:jc w:val="center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评分标准</w:t>
      </w:r>
    </w:p>
    <w:tbl>
      <w:tblPr>
        <w:tblStyle w:val="3"/>
        <w:tblW w:w="93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2"/>
        <w:gridCol w:w="1566"/>
        <w:gridCol w:w="6807"/>
      </w:tblGrid>
      <w:tr w14:paraId="0227E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A1DFF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99DB8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评分因素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C65D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评分标准</w:t>
            </w:r>
          </w:p>
        </w:tc>
      </w:tr>
      <w:tr w14:paraId="0040D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430D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一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B73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部分</w:t>
            </w:r>
          </w:p>
          <w:p w14:paraId="2173088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0分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B7B9E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1、</w:t>
            </w:r>
            <w:r>
              <w:rPr>
                <w:rFonts w:hint="eastAsia" w:ascii="黑体" w:hAnsi="黑体" w:eastAsia="黑体" w:cs="黑体"/>
              </w:rPr>
              <w:t>评分基准价：</w:t>
            </w:r>
          </w:p>
          <w:p w14:paraId="6D16D5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通过初步评审的有效供应商报价为有效响应报价，评分基准价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</w:rPr>
              <w:t>所有有效响应报价(含税)的算术平均值。</w:t>
            </w:r>
          </w:p>
          <w:p w14:paraId="593CB548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2、响应人报价得分：</w:t>
            </w:r>
          </w:p>
          <w:p w14:paraId="7A06885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（1）当供应商报价等于评标基准价时，报价得分=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</w:rPr>
              <w:t>分；</w:t>
            </w:r>
          </w:p>
          <w:p w14:paraId="4E41E13A">
            <w:pPr>
              <w:autoSpaceDE/>
              <w:autoSpaceDN/>
              <w:adjustRightInd/>
              <w:spacing w:line="240" w:lineRule="auto"/>
              <w:ind w:left="0" w:leftChars="0"/>
              <w:rPr>
                <w:rFonts w:hint="eastAsia" w:ascii="宋体" w:hAnsi="宋体" w:eastAsia="宋体" w:cs="宋体"/>
                <w:kern w:val="2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>（2）当投标报价高于评标基准价者，按每高于评标基准价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2%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扣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分的比例进行扣分，扣完为止；</w:t>
            </w:r>
          </w:p>
          <w:p w14:paraId="429EEF25">
            <w:pPr>
              <w:autoSpaceDE/>
              <w:autoSpaceDN/>
              <w:adjustRightInd/>
              <w:spacing w:line="240" w:lineRule="auto"/>
              <w:ind w:left="0" w:leftChars="0"/>
              <w:rPr>
                <w:rFonts w:hint="eastAsia" w:ascii="宋体" w:hAnsi="宋体" w:eastAsia="宋体" w:cs="宋体"/>
                <w:kern w:val="2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>当投标报价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低于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评标基准价者，按每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低于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评标基准价2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扣</w:t>
            </w:r>
            <w:r>
              <w:rPr>
                <w:rFonts w:hint="eastAsia" w:ascii="宋体" w:hAnsi="宋体" w:eastAsia="宋体" w:cs="宋体"/>
                <w:kern w:val="2"/>
                <w:szCs w:val="24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kern w:val="2"/>
                <w:szCs w:val="24"/>
              </w:rPr>
              <w:t>分的比例进行扣分，扣完为止；</w:t>
            </w:r>
          </w:p>
          <w:p w14:paraId="2BC35C0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Cs w:val="24"/>
              </w:rPr>
              <w:t>备注：报价得分计算过程及结果保留两位小数。</w:t>
            </w:r>
            <w:r>
              <w:rPr>
                <w:rFonts w:hint="eastAsia" w:ascii="宋体" w:hAnsi="宋体" w:eastAsia="宋体" w:cs="宋体"/>
              </w:rPr>
              <w:t>上述参与计算的最高限价和响应报价均为含税价。</w:t>
            </w:r>
          </w:p>
        </w:tc>
      </w:tr>
      <w:tr w14:paraId="6AD6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6E66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二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5C1C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综合部分</w:t>
            </w:r>
          </w:p>
          <w:p w14:paraId="3DF3F1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40分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4E500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1、项目人员组成（0-10分）</w:t>
            </w:r>
          </w:p>
          <w:p w14:paraId="195DA2E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主办律师1名需执业满6年，协办律师1名及以上需执业满3年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  <w:lang w:val="en-US" w:eastAsia="zh-CN"/>
              </w:rPr>
              <w:t>满足人员专业配备得6分，不满足要求不得分。</w:t>
            </w:r>
          </w:p>
          <w:p w14:paraId="6DC923A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项目人员具有</w:t>
            </w:r>
            <w:r>
              <w:rPr>
                <w:lang w:val="en-US" w:eastAsia="zh-CN"/>
              </w:rPr>
              <w:t>中级及以上职称</w:t>
            </w:r>
            <w:r>
              <w:rPr>
                <w:rFonts w:hint="eastAsia"/>
                <w:lang w:val="en-US" w:eastAsia="zh-CN"/>
              </w:rPr>
              <w:t>，每名人员得2分，最高4分，不满足要求不得分。</w:t>
            </w:r>
          </w:p>
          <w:p w14:paraId="51A0203E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注：提供相关人员执业证书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职称证书</w:t>
            </w:r>
            <w:r>
              <w:rPr>
                <w:rFonts w:hint="eastAsia"/>
              </w:rPr>
              <w:t>等扫描件或复印件。</w:t>
            </w:r>
          </w:p>
        </w:tc>
      </w:tr>
      <w:tr w14:paraId="1CC7F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E7D2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BA1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8B211">
            <w:pPr>
              <w:rPr>
                <w:rFonts w:hint="eastAsia" w:ascii="黑体" w:hAnsi="黑体" w:eastAsia="黑体" w:cs="黑体"/>
                <w:highlight w:val="none"/>
              </w:rPr>
            </w:pPr>
            <w:r>
              <w:rPr>
                <w:rFonts w:hint="eastAsia" w:ascii="黑体" w:hAnsi="黑体" w:eastAsia="黑体" w:cs="黑体"/>
                <w:highlight w:val="none"/>
              </w:rPr>
              <w:t>2、类似项目业绩（0-15分）</w:t>
            </w:r>
          </w:p>
          <w:p w14:paraId="64F2329C">
            <w:pPr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律所</w:t>
            </w:r>
            <w:r>
              <w:rPr>
                <w:rFonts w:hint="eastAsia"/>
                <w:highlight w:val="none"/>
              </w:rPr>
              <w:t>提供</w:t>
            </w:r>
            <w:r>
              <w:rPr>
                <w:rFonts w:hint="eastAsia"/>
                <w:highlight w:val="none"/>
                <w:lang w:val="en-US" w:eastAsia="zh-CN"/>
              </w:rPr>
              <w:t>近</w:t>
            </w:r>
            <w:r>
              <w:rPr>
                <w:rFonts w:hint="eastAsia"/>
                <w:highlight w:val="none"/>
              </w:rPr>
              <w:t>三年代理过标的额</w:t>
            </w:r>
            <w:r>
              <w:rPr>
                <w:rFonts w:hint="eastAsia"/>
                <w:highlight w:val="none"/>
                <w:lang w:val="en-US" w:eastAsia="zh-CN"/>
              </w:rPr>
              <w:t>30</w:t>
            </w:r>
            <w:r>
              <w:rPr>
                <w:rFonts w:hint="eastAsia"/>
                <w:highlight w:val="none"/>
              </w:rPr>
              <w:t>00万元以上的</w:t>
            </w:r>
            <w:r>
              <w:rPr>
                <w:rFonts w:hint="eastAsia"/>
                <w:highlight w:val="none"/>
                <w:lang w:val="en-US" w:eastAsia="zh-CN"/>
              </w:rPr>
              <w:t>独立</w:t>
            </w:r>
            <w:r>
              <w:rPr>
                <w:rFonts w:hint="eastAsia"/>
                <w:highlight w:val="none"/>
                <w:lang w:eastAsia="zh-CN"/>
              </w:rPr>
              <w:t>保函</w:t>
            </w:r>
            <w:r>
              <w:rPr>
                <w:rFonts w:hint="eastAsia"/>
                <w:highlight w:val="none"/>
              </w:rPr>
              <w:t>纠纷或</w:t>
            </w:r>
            <w:r>
              <w:rPr>
                <w:rFonts w:hint="eastAsia"/>
                <w:highlight w:val="none"/>
                <w:lang w:val="en-US" w:eastAsia="zh-CN"/>
              </w:rPr>
              <w:t>国有企业类似</w:t>
            </w:r>
            <w:r>
              <w:rPr>
                <w:rFonts w:hint="eastAsia"/>
                <w:highlight w:val="none"/>
              </w:rPr>
              <w:t>诉讼案件</w:t>
            </w:r>
            <w:r>
              <w:rPr>
                <w:rFonts w:hint="eastAsia"/>
                <w:highlight w:val="none"/>
                <w:lang w:val="en-US" w:eastAsia="zh-CN"/>
              </w:rPr>
              <w:t>业绩</w:t>
            </w:r>
            <w:r>
              <w:rPr>
                <w:rFonts w:hint="eastAsia"/>
                <w:highlight w:val="none"/>
                <w:lang w:eastAsia="zh-CN"/>
              </w:rPr>
              <w:t>，</w:t>
            </w:r>
            <w:r>
              <w:rPr>
                <w:rFonts w:hint="eastAsia"/>
                <w:highlight w:val="none"/>
                <w:lang w:val="en-US" w:eastAsia="zh-CN"/>
              </w:rPr>
              <w:t>每提供1项得5分，</w:t>
            </w:r>
            <w:r>
              <w:rPr>
                <w:rFonts w:hint="eastAsia"/>
                <w:highlight w:val="none"/>
              </w:rPr>
              <w:t>最高15分。</w:t>
            </w:r>
          </w:p>
          <w:p w14:paraId="13364965">
            <w:pPr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注：提供业绩</w:t>
            </w:r>
            <w:r>
              <w:rPr>
                <w:rFonts w:hint="eastAsia"/>
                <w:highlight w:val="none"/>
                <w:lang w:val="en-US" w:eastAsia="zh-CN"/>
              </w:rPr>
              <w:t>证明</w:t>
            </w:r>
            <w:r>
              <w:rPr>
                <w:rFonts w:hint="eastAsia"/>
                <w:highlight w:val="none"/>
              </w:rPr>
              <w:t>的主要部分扫描件或复印件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委托代理合同、判决书、裁定书等</w:t>
            </w:r>
            <w:r>
              <w:rPr>
                <w:rFonts w:hint="eastAsia"/>
                <w:highlight w:val="none"/>
                <w:lang w:eastAsia="zh-CN"/>
              </w:rPr>
              <w:t>）</w:t>
            </w:r>
            <w:r>
              <w:rPr>
                <w:rFonts w:hint="eastAsia"/>
                <w:highlight w:val="none"/>
              </w:rPr>
              <w:t>。</w:t>
            </w:r>
          </w:p>
        </w:tc>
      </w:tr>
      <w:tr w14:paraId="3C320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6C8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F88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A363D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3、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律所规模</w:t>
            </w:r>
            <w:r>
              <w:rPr>
                <w:rFonts w:hint="eastAsia" w:ascii="黑体" w:hAnsi="黑体" w:eastAsia="黑体" w:cs="黑体"/>
              </w:rPr>
              <w:t>（0-10分）</w:t>
            </w:r>
          </w:p>
          <w:p w14:paraId="4FF1739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律师事务所成立时间3年以上得5分，3年以下不得分。</w:t>
            </w:r>
          </w:p>
          <w:p w14:paraId="2960EBE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律所规模50人以上（含）得5分，50-20人得3分，20人以下得1分。</w:t>
            </w:r>
          </w:p>
          <w:p w14:paraId="781C4BAD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注：</w:t>
            </w:r>
            <w:r>
              <w:rPr>
                <w:rFonts w:hint="eastAsia"/>
                <w:lang w:val="en-US" w:eastAsia="zh-CN"/>
              </w:rPr>
              <w:t>以全国律师执业诚信信息公示平台（https://credit.acla.org.cn/credit/statement）所载信息为准</w:t>
            </w:r>
            <w:r>
              <w:rPr>
                <w:rFonts w:hint="eastAsia"/>
              </w:rPr>
              <w:t>。</w:t>
            </w:r>
          </w:p>
        </w:tc>
      </w:tr>
      <w:tr w14:paraId="3907A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6E79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635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7B0B2">
            <w:pPr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lang w:val="en-US" w:eastAsia="zh-CN"/>
              </w:rPr>
              <w:t>4、律所信誉（0-5分）</w:t>
            </w:r>
          </w:p>
          <w:p w14:paraId="710E5CB3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近</w:t>
            </w:r>
            <w:r>
              <w:rPr>
                <w:rFonts w:hint="eastAsia"/>
                <w:lang w:val="en-US" w:eastAsia="zh-CN"/>
              </w:rPr>
              <w:t>三</w:t>
            </w:r>
            <w:r>
              <w:rPr>
                <w:rFonts w:hint="eastAsia"/>
                <w:lang w:eastAsia="zh-CN"/>
              </w:rPr>
              <w:t>年无行政处罚、行业惩戒及重大执业不良记录</w:t>
            </w:r>
            <w:r>
              <w:rPr>
                <w:rFonts w:hint="eastAsia"/>
              </w:rPr>
              <w:t>得5分，有则不得分</w:t>
            </w:r>
          </w:p>
        </w:tc>
      </w:tr>
      <w:tr w14:paraId="21C6A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0FCB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三</w:t>
            </w:r>
          </w:p>
        </w:tc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BF31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服务方案</w:t>
            </w:r>
          </w:p>
          <w:p w14:paraId="190381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0分</w:t>
            </w: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2F0DF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1、项目理解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分析</w:t>
            </w:r>
            <w:r>
              <w:rPr>
                <w:rFonts w:hint="eastAsia" w:ascii="黑体" w:hAnsi="黑体" w:eastAsia="黑体" w:cs="黑体"/>
              </w:rPr>
              <w:t>（0-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20</w:t>
            </w:r>
            <w:r>
              <w:rPr>
                <w:rFonts w:hint="eastAsia" w:ascii="黑体" w:hAnsi="黑体" w:eastAsia="黑体" w:cs="黑体"/>
              </w:rPr>
              <w:t>分）</w:t>
            </w:r>
          </w:p>
          <w:p w14:paraId="27136F3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对案件事实、法律关系的梳理是否准确；对代理目标（解除合同、返还货款、违约金主张、保全、执行）的</w:t>
            </w:r>
            <w:r>
              <w:rPr>
                <w:rFonts w:hint="eastAsia"/>
                <w:lang w:val="en-US" w:eastAsia="zh-CN"/>
              </w:rPr>
              <w:t>方案完整、思路清晰、针对性强、风险预判到位</w:t>
            </w:r>
            <w:r>
              <w:rPr>
                <w:rFonts w:hint="eastAsia" w:eastAsiaTheme="minorEastAsia"/>
                <w:lang w:val="en-US" w:eastAsia="zh-CN"/>
              </w:rPr>
              <w:t>。</w:t>
            </w:r>
          </w:p>
        </w:tc>
      </w:tr>
      <w:tr w14:paraId="5C950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9" w:hRule="atLeast"/>
        </w:trPr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B381D">
            <w:pPr>
              <w:rPr>
                <w:rFonts w:hint="eastAsia"/>
              </w:rPr>
            </w:pPr>
          </w:p>
        </w:tc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785D4">
            <w:pPr>
              <w:rPr>
                <w:rFonts w:hint="eastAsia"/>
              </w:rPr>
            </w:pPr>
          </w:p>
        </w:tc>
        <w:tc>
          <w:tcPr>
            <w:tcW w:w="6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D18C4">
            <w:pPr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2、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团队服务保障措施</w:t>
            </w:r>
            <w:r>
              <w:rPr>
                <w:rFonts w:hint="eastAsia" w:ascii="黑体" w:hAnsi="黑体" w:eastAsia="黑体" w:cs="黑体"/>
              </w:rPr>
              <w:t>（0-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10</w:t>
            </w:r>
            <w:r>
              <w:rPr>
                <w:rFonts w:hint="eastAsia" w:ascii="黑体" w:hAnsi="黑体" w:eastAsia="黑体" w:cs="黑体"/>
              </w:rPr>
              <w:t>分）</w:t>
            </w:r>
          </w:p>
          <w:p w14:paraId="34D8B905">
            <w:pPr>
              <w:rPr>
                <w:rFonts w:hint="default" w:eastAsia="宋体"/>
                <w:b w:val="0"/>
                <w:i w:val="0"/>
                <w:strike w:val="0"/>
                <w:color w:val="auto"/>
                <w:sz w:val="24"/>
                <w:u w:val="no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团队配置合理性、响应时效、进度控制、质量及保密廉洁保障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符合案件要求。</w:t>
            </w:r>
          </w:p>
        </w:tc>
      </w:tr>
    </w:tbl>
    <w:p w14:paraId="5318597C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26109"/>
    <w:rsid w:val="09336848"/>
    <w:rsid w:val="0BF26547"/>
    <w:rsid w:val="12C80001"/>
    <w:rsid w:val="14EF1875"/>
    <w:rsid w:val="237B1C02"/>
    <w:rsid w:val="260E1D77"/>
    <w:rsid w:val="2D7B48A7"/>
    <w:rsid w:val="2FFB15BE"/>
    <w:rsid w:val="40F70F22"/>
    <w:rsid w:val="453B639F"/>
    <w:rsid w:val="4B460157"/>
    <w:rsid w:val="4DD40C68"/>
    <w:rsid w:val="51A4340C"/>
    <w:rsid w:val="66626109"/>
    <w:rsid w:val="6C3C4515"/>
    <w:rsid w:val="70201854"/>
    <w:rsid w:val="7C2B0102"/>
    <w:rsid w:val="7EA02481"/>
    <w:rsid w:val="7FDF5518"/>
    <w:rsid w:val="E6F77C70"/>
    <w:rsid w:val="FCB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739</Words>
  <Characters>822</Characters>
  <Lines>0</Lines>
  <Paragraphs>0</Paragraphs>
  <TotalTime>7</TotalTime>
  <ScaleCrop>false</ScaleCrop>
  <LinksUpToDate>false</LinksUpToDate>
  <CharactersWithSpaces>822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2026-08-22T01:59:00Z</dcterms:created>
  <dc:creator>李闻琦</dc:creator>
  <cp:lastModifiedBy>Delia</cp:lastModifiedBy>
  <dcterms:modified xsi:type="dcterms:W3CDTF">2026-10-15T08:37:53Z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EFAE6FA1D95445618E8A8A0843F675F3_13</vt:lpwstr>
  </property>
  <property fmtid="{D5CDD505-2E9C-101B-9397-08002B2CF9AE}" pid="4" name="KSOTemplateDocerSaveRecord">
    <vt:lpwstr>eyJoZGlkIjoiOTZjZTM0N2E4Nzk5Nzg1ZjllMzY0MmFmNzQ5MDY0M2EiLCJ1c2VySWQiOiIzNjM0Mzc0ODgifQ==</vt:lpwstr>
  </property>
</Properties>
</file>