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75BC0">
      <w:pPr>
        <w:spacing w:before="166" w:line="176" w:lineRule="auto"/>
        <w:ind w:left="3708"/>
        <w:outlineLvl w:val="0"/>
        <w:rPr>
          <w:rFonts w:ascii="方正小标宋简体" w:hAnsi="方正小标宋简体" w:eastAsia="方正小标宋简体" w:cs="方正小标宋简体"/>
          <w:sz w:val="43"/>
          <w:szCs w:val="43"/>
          <w:highlight w:val="none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  <w:highlight w:val="none"/>
        </w:rPr>
        <w:t>评审规则</w:t>
      </w: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2931"/>
        <w:gridCol w:w="5741"/>
      </w:tblGrid>
      <w:tr w14:paraId="1928B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6D4FD9D0">
            <w:pPr>
              <w:pStyle w:val="8"/>
              <w:spacing w:before="288" w:line="216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vAlign w:val="center"/>
          </w:tcPr>
          <w:p w14:paraId="5EE1177F">
            <w:pPr>
              <w:pStyle w:val="8"/>
              <w:spacing w:before="288" w:line="214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0491611A">
            <w:pPr>
              <w:pStyle w:val="8"/>
              <w:spacing w:before="288" w:line="215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52EF4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796" w:type="dxa"/>
            <w:vAlign w:val="center"/>
          </w:tcPr>
          <w:p w14:paraId="512ABC8A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1</w:t>
            </w:r>
          </w:p>
        </w:tc>
        <w:tc>
          <w:tcPr>
            <w:tcW w:w="2931" w:type="dxa"/>
            <w:vAlign w:val="center"/>
          </w:tcPr>
          <w:p w14:paraId="05CAB82C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分值构成</w:t>
            </w:r>
          </w:p>
          <w:p w14:paraId="2627CE7A">
            <w:pPr>
              <w:pStyle w:val="8"/>
              <w:spacing w:before="189" w:line="217" w:lineRule="auto"/>
              <w:jc w:val="center"/>
              <w:rPr>
                <w:highlight w:val="none"/>
              </w:rPr>
            </w:pPr>
            <w:r>
              <w:rPr>
                <w:rFonts w:hint="eastAsia"/>
                <w:spacing w:val="-12"/>
                <w:highlight w:val="none"/>
                <w:lang w:eastAsia="zh-CN"/>
              </w:rPr>
              <w:t>（</w:t>
            </w:r>
            <w:r>
              <w:rPr>
                <w:spacing w:val="-12"/>
                <w:highlight w:val="none"/>
              </w:rPr>
              <w:t>总分100分</w:t>
            </w:r>
            <w:r>
              <w:rPr>
                <w:rFonts w:hint="eastAsia"/>
                <w:spacing w:val="-12"/>
                <w:highlight w:val="none"/>
                <w:lang w:eastAsia="zh-CN"/>
              </w:rPr>
              <w:t>）</w:t>
            </w:r>
          </w:p>
        </w:tc>
        <w:tc>
          <w:tcPr>
            <w:tcW w:w="5741" w:type="dxa"/>
            <w:vAlign w:val="top"/>
          </w:tcPr>
          <w:p w14:paraId="4CE93038">
            <w:pPr>
              <w:pStyle w:val="8"/>
              <w:spacing w:before="118" w:line="214" w:lineRule="auto"/>
              <w:ind w:left="20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报价部分：35分</w:t>
            </w:r>
          </w:p>
          <w:p w14:paraId="5AEF0464">
            <w:pPr>
              <w:pStyle w:val="8"/>
              <w:spacing w:before="189" w:line="217" w:lineRule="auto"/>
              <w:ind w:left="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技术部分：35分</w:t>
            </w:r>
          </w:p>
          <w:p w14:paraId="66313577">
            <w:pPr>
              <w:pStyle w:val="8"/>
              <w:spacing w:before="185" w:line="217" w:lineRule="auto"/>
              <w:ind w:left="23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综合部分：30分</w:t>
            </w:r>
          </w:p>
        </w:tc>
      </w:tr>
      <w:tr w14:paraId="1C2038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8" w:hRule="atLeast"/>
        </w:trPr>
        <w:tc>
          <w:tcPr>
            <w:tcW w:w="796" w:type="dxa"/>
            <w:vAlign w:val="center"/>
          </w:tcPr>
          <w:p w14:paraId="33FF2773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2</w:t>
            </w:r>
          </w:p>
        </w:tc>
        <w:tc>
          <w:tcPr>
            <w:tcW w:w="2931" w:type="dxa"/>
            <w:vAlign w:val="center"/>
          </w:tcPr>
          <w:p w14:paraId="62D8FCE3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评审基准价计算方法</w:t>
            </w:r>
          </w:p>
        </w:tc>
        <w:tc>
          <w:tcPr>
            <w:tcW w:w="5741" w:type="dxa"/>
            <w:vAlign w:val="top"/>
          </w:tcPr>
          <w:p w14:paraId="1439E5B1">
            <w:pPr>
              <w:pStyle w:val="8"/>
              <w:spacing w:before="117" w:line="360" w:lineRule="auto"/>
              <w:ind w:left="19" w:hanging="1"/>
              <w:rPr>
                <w:highlight w:val="none"/>
              </w:rPr>
            </w:pPr>
            <w:r>
              <w:rPr>
                <w:spacing w:val="-12"/>
                <w:highlight w:val="none"/>
              </w:rPr>
              <w:t>有效供应商报价：通过初步评审（形式评审、资格评审、</w:t>
            </w:r>
            <w:r>
              <w:rPr>
                <w:spacing w:val="-8"/>
                <w:highlight w:val="none"/>
              </w:rPr>
              <w:t>响应性评审）的供应商的响应总报价（不含增值税）。</w:t>
            </w:r>
          </w:p>
          <w:p w14:paraId="7A0209E7">
            <w:pPr>
              <w:pStyle w:val="8"/>
              <w:spacing w:line="360" w:lineRule="auto"/>
              <w:ind w:left="12" w:right="3" w:hanging="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（1）当通过初步评审的单位数量在5家以上时，采用二次平均的办法计算评审基准价。即有效供应商的响应总报价（不含增值税）去掉一个最高报价和一个最低报价的算术平均值为一次平均值，该平均值及以下的响应总</w:t>
            </w:r>
            <w:r>
              <w:rPr>
                <w:spacing w:val="6"/>
                <w:highlight w:val="none"/>
              </w:rPr>
              <w:t>报价（不含增值税</w:t>
            </w:r>
            <w:r>
              <w:rPr>
                <w:spacing w:val="-87"/>
                <w:highlight w:val="none"/>
              </w:rPr>
              <w:t>）</w:t>
            </w:r>
            <w:r>
              <w:rPr>
                <w:rFonts w:hint="eastAsia"/>
                <w:spacing w:val="-87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spacing w:val="-87"/>
                <w:sz w:val="24"/>
                <w:szCs w:val="24"/>
                <w:highlight w:val="none"/>
                <w:lang w:val="en-US" w:eastAsia="zh-CN"/>
              </w:rPr>
              <w:t>含</w:t>
            </w:r>
            <w:r>
              <w:rPr>
                <w:spacing w:val="6"/>
                <w:sz w:val="24"/>
                <w:szCs w:val="24"/>
                <w:highlight w:val="none"/>
              </w:rPr>
              <w:t>等于一次</w:t>
            </w:r>
            <w:r>
              <w:rPr>
                <w:spacing w:val="6"/>
                <w:highlight w:val="none"/>
              </w:rPr>
              <w:t>平均值的供应商响应</w:t>
            </w:r>
            <w:r>
              <w:rPr>
                <w:spacing w:val="-2"/>
                <w:highlight w:val="none"/>
              </w:rPr>
              <w:t>总报价，不含一次平均值计算过程中去掉的一个最低报</w:t>
            </w:r>
            <w:r>
              <w:rPr>
                <w:spacing w:val="-1"/>
                <w:highlight w:val="none"/>
              </w:rPr>
              <w:t>价）算术平均值为评审基准价。</w:t>
            </w:r>
          </w:p>
          <w:p w14:paraId="68EA24E1">
            <w:pPr>
              <w:pStyle w:val="8"/>
              <w:spacing w:before="3" w:line="327" w:lineRule="auto"/>
              <w:ind w:left="18" w:right="3" w:hanging="10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（2）当通过初步评审的单位数量在5家及以下的，采用一次平均的方法计算评审基准价，评审基准价为所有供</w:t>
            </w:r>
            <w:r>
              <w:rPr>
                <w:spacing w:val="-1"/>
                <w:highlight w:val="none"/>
              </w:rPr>
              <w:t>应商响应总报价（不含增值税）的算术平均值。</w:t>
            </w:r>
          </w:p>
        </w:tc>
      </w:tr>
      <w:tr w14:paraId="392E9E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796" w:type="dxa"/>
            <w:vAlign w:val="center"/>
          </w:tcPr>
          <w:p w14:paraId="4B9EA541">
            <w:pPr>
              <w:pStyle w:val="8"/>
              <w:spacing w:before="78"/>
              <w:jc w:val="center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2.1</w:t>
            </w:r>
          </w:p>
        </w:tc>
        <w:tc>
          <w:tcPr>
            <w:tcW w:w="2931" w:type="dxa"/>
            <w:vAlign w:val="center"/>
          </w:tcPr>
          <w:p w14:paraId="6081DB67">
            <w:pPr>
              <w:pStyle w:val="8"/>
              <w:spacing w:before="121" w:line="312" w:lineRule="auto"/>
              <w:ind w:right="29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响应总报价（不含增值税）</w:t>
            </w:r>
            <w:r>
              <w:rPr>
                <w:spacing w:val="-4"/>
                <w:highlight w:val="none"/>
              </w:rPr>
              <w:t>的偏差率计算公式</w:t>
            </w:r>
          </w:p>
        </w:tc>
        <w:tc>
          <w:tcPr>
            <w:tcW w:w="5741" w:type="dxa"/>
            <w:vAlign w:val="top"/>
          </w:tcPr>
          <w:p w14:paraId="0615558B">
            <w:pPr>
              <w:pStyle w:val="8"/>
              <w:spacing w:before="121" w:line="312" w:lineRule="auto"/>
              <w:ind w:left="12" w:right="7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偏差率=100%×（供应商响应总报价（不含增值税）-评标基准价）/评标基准价</w:t>
            </w:r>
          </w:p>
        </w:tc>
      </w:tr>
    </w:tbl>
    <w:p w14:paraId="73525DC0">
      <w:pPr>
        <w:rPr>
          <w:rFonts w:ascii="Arial"/>
          <w:sz w:val="21"/>
          <w:highlight w:val="none"/>
        </w:rPr>
      </w:pPr>
    </w:p>
    <w:p w14:paraId="67462B45">
      <w:pPr>
        <w:rPr>
          <w:rFonts w:ascii="Arial" w:hAnsi="Arial" w:eastAsia="Arial" w:cs="Arial"/>
          <w:sz w:val="21"/>
          <w:szCs w:val="21"/>
          <w:highlight w:val="none"/>
        </w:rPr>
        <w:sectPr>
          <w:footerReference r:id="rId5" w:type="default"/>
          <w:pgSz w:w="11906" w:h="16839"/>
          <w:pgMar w:top="2098" w:right="1474" w:bottom="1984" w:left="1587" w:header="0" w:footer="975" w:gutter="0"/>
          <w:pgNumType w:fmt="decimal"/>
          <w:cols w:space="720" w:num="1"/>
        </w:sectPr>
      </w:pP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1154"/>
        <w:gridCol w:w="1777"/>
        <w:gridCol w:w="5741"/>
      </w:tblGrid>
      <w:tr w14:paraId="1B27D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28718F0C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gridSpan w:val="2"/>
            <w:vAlign w:val="center"/>
          </w:tcPr>
          <w:p w14:paraId="2535CF8B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701E7E97">
            <w:pPr>
              <w:pStyle w:val="8"/>
              <w:spacing w:before="289" w:line="480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098D5F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4" w:hRule="atLeast"/>
        </w:trPr>
        <w:tc>
          <w:tcPr>
            <w:tcW w:w="796" w:type="dxa"/>
            <w:vAlign w:val="center"/>
          </w:tcPr>
          <w:p w14:paraId="1339E2F5">
            <w:pPr>
              <w:pStyle w:val="8"/>
              <w:spacing w:before="78" w:line="242" w:lineRule="auto"/>
              <w:jc w:val="center"/>
              <w:rPr>
                <w:highlight w:val="none"/>
              </w:rPr>
            </w:pPr>
            <w:r>
              <w:rPr>
                <w:highlight w:val="none"/>
              </w:rPr>
              <w:t>3</w:t>
            </w:r>
          </w:p>
        </w:tc>
        <w:tc>
          <w:tcPr>
            <w:tcW w:w="1154" w:type="dxa"/>
            <w:vAlign w:val="center"/>
          </w:tcPr>
          <w:p w14:paraId="4CB98828">
            <w:pPr>
              <w:pStyle w:val="8"/>
              <w:spacing w:before="78" w:line="361" w:lineRule="auto"/>
              <w:ind w:right="72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报价部分（35分）</w:t>
            </w:r>
          </w:p>
        </w:tc>
        <w:tc>
          <w:tcPr>
            <w:tcW w:w="1777" w:type="dxa"/>
            <w:vAlign w:val="center"/>
          </w:tcPr>
          <w:p w14:paraId="6B98223D">
            <w:pPr>
              <w:pStyle w:val="8"/>
              <w:spacing w:before="78" w:line="361" w:lineRule="auto"/>
              <w:ind w:right="380"/>
              <w:jc w:val="center"/>
              <w:rPr>
                <w:spacing w:val="-4"/>
                <w:highlight w:val="none"/>
              </w:rPr>
            </w:pPr>
            <w:r>
              <w:rPr>
                <w:spacing w:val="-4"/>
                <w:highlight w:val="none"/>
              </w:rPr>
              <w:t>报价得分</w:t>
            </w:r>
          </w:p>
          <w:p w14:paraId="16A9FDFA">
            <w:pPr>
              <w:pStyle w:val="8"/>
              <w:spacing w:before="78" w:line="361" w:lineRule="auto"/>
              <w:ind w:right="380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（</w:t>
            </w:r>
            <w:r>
              <w:rPr>
                <w:rFonts w:hint="eastAsia"/>
                <w:spacing w:val="-5"/>
                <w:highlight w:val="none"/>
                <w:lang w:val="en-US" w:eastAsia="zh-CN"/>
              </w:rPr>
              <w:t>3</w:t>
            </w:r>
            <w:r>
              <w:rPr>
                <w:spacing w:val="-5"/>
                <w:highlight w:val="none"/>
              </w:rPr>
              <w:t>5分）</w:t>
            </w:r>
          </w:p>
        </w:tc>
        <w:tc>
          <w:tcPr>
            <w:tcW w:w="5741" w:type="dxa"/>
            <w:vAlign w:val="top"/>
          </w:tcPr>
          <w:p w14:paraId="18962884">
            <w:pPr>
              <w:pStyle w:val="8"/>
              <w:spacing w:before="116" w:line="360" w:lineRule="auto"/>
              <w:ind w:left="10" w:right="5" w:hanging="2"/>
              <w:rPr>
                <w:highlight w:val="none"/>
              </w:rPr>
            </w:pPr>
            <w:r>
              <w:rPr>
                <w:spacing w:val="3"/>
                <w:highlight w:val="none"/>
              </w:rPr>
              <w:t>（1）当有效供应商响应总报价（不含增值税）等于评</w:t>
            </w:r>
            <w:r>
              <w:rPr>
                <w:spacing w:val="-1"/>
                <w:highlight w:val="none"/>
              </w:rPr>
              <w:t>标基准价时，供应商得满分35分；</w:t>
            </w:r>
          </w:p>
          <w:p w14:paraId="1A113CE5">
            <w:pPr>
              <w:pStyle w:val="8"/>
              <w:spacing w:line="360" w:lineRule="auto"/>
              <w:ind w:left="12" w:hanging="4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（2）当响应总报价（不含增值税）高于评标基</w:t>
            </w:r>
            <w:r>
              <w:rPr>
                <w:spacing w:val="-7"/>
                <w:highlight w:val="none"/>
              </w:rPr>
              <w:t>准价时，</w:t>
            </w:r>
            <w:r>
              <w:rPr>
                <w:spacing w:val="1"/>
                <w:highlight w:val="none"/>
              </w:rPr>
              <w:t>按每高于评标基准价1%扣1分的比例在3</w:t>
            </w:r>
            <w:r>
              <w:rPr>
                <w:highlight w:val="none"/>
              </w:rPr>
              <w:t>5分的基础上进</w:t>
            </w:r>
            <w:r>
              <w:rPr>
                <w:spacing w:val="-4"/>
                <w:highlight w:val="none"/>
              </w:rPr>
              <w:t>行扣分，扣完为止。</w:t>
            </w:r>
          </w:p>
          <w:p w14:paraId="42A959E4">
            <w:pPr>
              <w:pStyle w:val="8"/>
              <w:spacing w:before="2" w:line="359" w:lineRule="auto"/>
              <w:ind w:left="13" w:right="5" w:firstLine="7"/>
              <w:rPr>
                <w:highlight w:val="none"/>
              </w:rPr>
            </w:pPr>
            <w:r>
              <w:rPr>
                <w:spacing w:val="2"/>
                <w:highlight w:val="none"/>
              </w:rPr>
              <w:t>报价得分=35分-（供应商响应总报价（不含增值税）-</w:t>
            </w:r>
            <w:r>
              <w:rPr>
                <w:spacing w:val="-11"/>
                <w:highlight w:val="none"/>
              </w:rPr>
              <w:t>评标基准价）/评标基准价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×1×100</w:t>
            </w:r>
            <w:r>
              <w:rPr>
                <w:spacing w:val="-11"/>
                <w:highlight w:val="none"/>
              </w:rPr>
              <w:t>；</w:t>
            </w:r>
          </w:p>
          <w:p w14:paraId="2F013A50">
            <w:pPr>
              <w:pStyle w:val="8"/>
              <w:spacing w:line="360" w:lineRule="auto"/>
              <w:ind w:left="12" w:hanging="4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（3）当响应总报价（不含增值税）低于评标基</w:t>
            </w:r>
            <w:r>
              <w:rPr>
                <w:spacing w:val="-7"/>
                <w:highlight w:val="none"/>
              </w:rPr>
              <w:t>准价时，</w:t>
            </w:r>
            <w:r>
              <w:rPr>
                <w:spacing w:val="1"/>
                <w:highlight w:val="none"/>
              </w:rPr>
              <w:t>按每低于评标基准价1%扣0.5分的比例在3</w:t>
            </w:r>
            <w:r>
              <w:rPr>
                <w:highlight w:val="none"/>
              </w:rPr>
              <w:t>5分的基础上</w:t>
            </w:r>
            <w:r>
              <w:rPr>
                <w:spacing w:val="-4"/>
                <w:highlight w:val="none"/>
              </w:rPr>
              <w:t>进行扣分，扣完为止。</w:t>
            </w:r>
          </w:p>
          <w:p w14:paraId="37B506F7">
            <w:pPr>
              <w:pStyle w:val="8"/>
              <w:spacing w:before="2" w:line="359" w:lineRule="auto"/>
              <w:ind w:left="13" w:right="5" w:firstLine="7"/>
              <w:rPr>
                <w:rFonts w:hint="default" w:eastAsia="FangSong_GB2312"/>
                <w:highlight w:val="none"/>
                <w:lang w:val="en-US" w:eastAsia="zh-CN"/>
              </w:rPr>
            </w:pPr>
            <w:r>
              <w:rPr>
                <w:spacing w:val="2"/>
                <w:highlight w:val="none"/>
              </w:rPr>
              <w:t>报价得分=35分+（供应商响应总报价（不含增值税）-</w:t>
            </w:r>
            <w:r>
              <w:rPr>
                <w:spacing w:val="-11"/>
                <w:highlight w:val="none"/>
              </w:rPr>
              <w:t>评标基准价）/评标基准价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×0.5×100；</w:t>
            </w:r>
          </w:p>
          <w:p w14:paraId="60CA9568">
            <w:pPr>
              <w:pStyle w:val="8"/>
              <w:spacing w:line="312" w:lineRule="auto"/>
              <w:ind w:left="21" w:right="3" w:hanging="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备注：数值精度为小数点后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两位</w:t>
            </w:r>
            <w:r>
              <w:rPr>
                <w:spacing w:val="-2"/>
                <w:highlight w:val="none"/>
              </w:rPr>
              <w:t>，第三位小数进行四舍</w:t>
            </w:r>
            <w:r>
              <w:rPr>
                <w:spacing w:val="-6"/>
                <w:highlight w:val="none"/>
              </w:rPr>
              <w:t>五入。</w:t>
            </w:r>
          </w:p>
        </w:tc>
      </w:tr>
      <w:tr w14:paraId="70BB8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796" w:type="dxa"/>
            <w:vMerge w:val="restart"/>
            <w:tcBorders>
              <w:bottom w:val="nil"/>
            </w:tcBorders>
            <w:vAlign w:val="center"/>
          </w:tcPr>
          <w:p w14:paraId="31F09E63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4</w:t>
            </w:r>
          </w:p>
        </w:tc>
        <w:tc>
          <w:tcPr>
            <w:tcW w:w="1154" w:type="dxa"/>
            <w:vMerge w:val="restart"/>
            <w:tcBorders>
              <w:bottom w:val="nil"/>
            </w:tcBorders>
            <w:vAlign w:val="center"/>
          </w:tcPr>
          <w:p w14:paraId="0F77B48B">
            <w:pPr>
              <w:pStyle w:val="8"/>
              <w:spacing w:before="78" w:line="361" w:lineRule="auto"/>
              <w:ind w:right="72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技术部分</w:t>
            </w:r>
            <w:r>
              <w:rPr>
                <w:spacing w:val="-5"/>
                <w:highlight w:val="none"/>
              </w:rPr>
              <w:t>（35分）</w:t>
            </w:r>
          </w:p>
        </w:tc>
        <w:tc>
          <w:tcPr>
            <w:tcW w:w="1777" w:type="dxa"/>
            <w:vAlign w:val="center"/>
          </w:tcPr>
          <w:p w14:paraId="380218CF">
            <w:pPr>
              <w:pStyle w:val="8"/>
              <w:spacing w:before="78" w:line="216" w:lineRule="auto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项目理解与分析</w:t>
            </w:r>
          </w:p>
          <w:p w14:paraId="5C346E6C">
            <w:pPr>
              <w:pStyle w:val="8"/>
              <w:spacing w:before="187" w:line="217" w:lineRule="auto"/>
              <w:ind w:left="381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4CA56E5D">
            <w:pPr>
              <w:pStyle w:val="8"/>
              <w:spacing w:before="117" w:line="341" w:lineRule="auto"/>
              <w:ind w:left="10"/>
              <w:jc w:val="both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根据供应商对本项目背景、建设内容、区域现状、规划要求等方面的理解深度进行打分。理解全面深入、分析</w:t>
            </w:r>
            <w:r>
              <w:rPr>
                <w:spacing w:val="-6"/>
                <w:highlight w:val="none"/>
              </w:rPr>
              <w:t>透彻的得7</w:t>
            </w:r>
            <w:r>
              <w:rPr>
                <w:rFonts w:hint="eastAsia"/>
                <w:spacing w:val="-6"/>
                <w:highlight w:val="none"/>
                <w:lang w:eastAsia="zh-CN"/>
              </w:rPr>
              <w:t>—</w:t>
            </w:r>
            <w:r>
              <w:rPr>
                <w:spacing w:val="-6"/>
                <w:highlight w:val="none"/>
              </w:rPr>
              <w:t>10分；理解较为全面、分析合理的得4</w:t>
            </w:r>
            <w:r>
              <w:rPr>
                <w:rFonts w:hint="eastAsia"/>
                <w:spacing w:val="-6"/>
                <w:highlight w:val="none"/>
                <w:lang w:eastAsia="zh-CN"/>
              </w:rPr>
              <w:t>—</w:t>
            </w:r>
            <w:r>
              <w:rPr>
                <w:spacing w:val="-6"/>
                <w:highlight w:val="none"/>
              </w:rPr>
              <w:t>6分；</w:t>
            </w:r>
            <w:r>
              <w:rPr>
                <w:spacing w:val="1"/>
                <w:highlight w:val="none"/>
              </w:rPr>
              <w:t>理解一般、分析较浅的得1</w:t>
            </w:r>
            <w:r>
              <w:rPr>
                <w:rFonts w:hint="eastAsia"/>
                <w:spacing w:val="1"/>
                <w:highlight w:val="none"/>
                <w:lang w:eastAsia="zh-CN"/>
              </w:rPr>
              <w:t>—</w:t>
            </w:r>
            <w:r>
              <w:rPr>
                <w:spacing w:val="1"/>
                <w:highlight w:val="none"/>
              </w:rPr>
              <w:t>3分；未提供或严重偏离的</w:t>
            </w:r>
            <w:r>
              <w:rPr>
                <w:spacing w:val="-4"/>
                <w:highlight w:val="none"/>
              </w:rPr>
              <w:t>得0分。</w:t>
            </w:r>
          </w:p>
        </w:tc>
      </w:tr>
      <w:tr w14:paraId="3DA8AC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  <w:tcBorders>
              <w:top w:val="nil"/>
            </w:tcBorders>
            <w:vAlign w:val="center"/>
          </w:tcPr>
          <w:p w14:paraId="1BFE3D6A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center"/>
          </w:tcPr>
          <w:p w14:paraId="2F5EE341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vAlign w:val="center"/>
          </w:tcPr>
          <w:p w14:paraId="049C8512">
            <w:pPr>
              <w:pStyle w:val="8"/>
              <w:spacing w:before="78" w:line="361" w:lineRule="auto"/>
              <w:ind w:right="406"/>
              <w:jc w:val="center"/>
              <w:rPr>
                <w:spacing w:val="-4"/>
                <w:highlight w:val="none"/>
              </w:rPr>
            </w:pPr>
            <w:r>
              <w:rPr>
                <w:spacing w:val="-4"/>
                <w:highlight w:val="none"/>
              </w:rPr>
              <w:t>服务方案</w:t>
            </w:r>
          </w:p>
          <w:p w14:paraId="0C2D9D57">
            <w:pPr>
              <w:pStyle w:val="8"/>
              <w:spacing w:before="78" w:line="361" w:lineRule="auto"/>
              <w:ind w:right="406"/>
              <w:jc w:val="center"/>
              <w:rPr>
                <w:highlight w:val="none"/>
              </w:rPr>
            </w:pPr>
            <w:r>
              <w:rPr>
                <w:spacing w:val="13"/>
                <w:highlight w:val="none"/>
              </w:rPr>
              <w:t>（5分）</w:t>
            </w:r>
          </w:p>
        </w:tc>
        <w:tc>
          <w:tcPr>
            <w:tcW w:w="5741" w:type="dxa"/>
            <w:vAlign w:val="top"/>
          </w:tcPr>
          <w:p w14:paraId="1B4A8DAC">
            <w:pPr>
              <w:pStyle w:val="8"/>
              <w:spacing w:before="120" w:line="341" w:lineRule="auto"/>
              <w:ind w:left="15" w:right="3" w:hanging="5"/>
              <w:jc w:val="both"/>
              <w:rPr>
                <w:highlight w:val="none"/>
              </w:rPr>
            </w:pPr>
            <w:r>
              <w:rPr>
                <w:spacing w:val="8"/>
                <w:highlight w:val="none"/>
              </w:rPr>
              <w:t>根据供应商提供的</w:t>
            </w:r>
            <w:r>
              <w:rPr>
                <w:rFonts w:hint="eastAsia"/>
                <w:spacing w:val="8"/>
                <w:highlight w:val="none"/>
                <w:lang w:val="en-US" w:eastAsia="zh-CN"/>
              </w:rPr>
              <w:t>机井物探</w:t>
            </w:r>
            <w:r>
              <w:rPr>
                <w:rFonts w:hint="eastAsia"/>
                <w:spacing w:val="8"/>
                <w:highlight w:val="none"/>
              </w:rPr>
              <w:t>报告</w:t>
            </w:r>
            <w:r>
              <w:rPr>
                <w:spacing w:val="8"/>
                <w:highlight w:val="none"/>
              </w:rPr>
              <w:t>编制</w:t>
            </w:r>
            <w:r>
              <w:rPr>
                <w:spacing w:val="-2"/>
                <w:highlight w:val="none"/>
              </w:rPr>
              <w:t>工作方案进行打分，包括工作思路、技术路线、编制方法、进度计划等。方案科学合理、思路清晰、可操作性强的得5分；方案较合理、基本可行的得3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—</w:t>
            </w:r>
            <w:r>
              <w:rPr>
                <w:spacing w:val="-2"/>
                <w:highlight w:val="none"/>
              </w:rPr>
              <w:t>4分；方案一</w:t>
            </w:r>
            <w:r>
              <w:rPr>
                <w:spacing w:val="-1"/>
                <w:highlight w:val="none"/>
              </w:rPr>
              <w:t>般、可行性较差的得1</w:t>
            </w:r>
            <w:r>
              <w:rPr>
                <w:rFonts w:hint="eastAsia"/>
                <w:spacing w:val="-1"/>
                <w:highlight w:val="none"/>
                <w:lang w:eastAsia="zh-CN"/>
              </w:rPr>
              <w:t>—</w:t>
            </w:r>
            <w:r>
              <w:rPr>
                <w:spacing w:val="-1"/>
                <w:highlight w:val="none"/>
              </w:rPr>
              <w:t>2分；未提供的得0分。</w:t>
            </w:r>
          </w:p>
        </w:tc>
      </w:tr>
    </w:tbl>
    <w:p w14:paraId="5DF60DC2">
      <w:pPr>
        <w:rPr>
          <w:rFonts w:ascii="Arial" w:hAnsi="Arial" w:eastAsia="Arial" w:cs="Arial"/>
          <w:sz w:val="21"/>
          <w:szCs w:val="21"/>
          <w:highlight w:val="none"/>
        </w:rPr>
        <w:sectPr>
          <w:footerReference r:id="rId6" w:type="default"/>
          <w:pgSz w:w="11906" w:h="16839"/>
          <w:pgMar w:top="2098" w:right="1474" w:bottom="1984" w:left="1587" w:header="0" w:footer="975" w:gutter="0"/>
          <w:pgNumType w:fmt="decimal"/>
          <w:cols w:space="720" w:num="1"/>
        </w:sectPr>
      </w:pP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1279"/>
        <w:gridCol w:w="1652"/>
        <w:gridCol w:w="5741"/>
      </w:tblGrid>
      <w:tr w14:paraId="221D1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796" w:type="dxa"/>
            <w:vAlign w:val="center"/>
          </w:tcPr>
          <w:p w14:paraId="21DD7433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gridSpan w:val="2"/>
            <w:vAlign w:val="center"/>
          </w:tcPr>
          <w:p w14:paraId="49B89C1D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47D2454F">
            <w:pPr>
              <w:pStyle w:val="8"/>
              <w:spacing w:before="289" w:line="480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332EB8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796" w:type="dxa"/>
            <w:vMerge w:val="restart"/>
            <w:tcBorders>
              <w:bottom w:val="nil"/>
            </w:tcBorders>
            <w:vAlign w:val="center"/>
          </w:tcPr>
          <w:p w14:paraId="337D1328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vMerge w:val="restart"/>
            <w:tcBorders>
              <w:bottom w:val="nil"/>
            </w:tcBorders>
            <w:vAlign w:val="center"/>
          </w:tcPr>
          <w:p w14:paraId="55975691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08A3F0C7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质量保证措施</w:t>
            </w:r>
          </w:p>
          <w:p w14:paraId="5F7CC631">
            <w:pPr>
              <w:pStyle w:val="8"/>
              <w:spacing w:before="190" w:line="217" w:lineRule="auto"/>
              <w:ind w:left="441"/>
              <w:jc w:val="both"/>
              <w:rPr>
                <w:highlight w:val="none"/>
              </w:rPr>
            </w:pPr>
            <w:r>
              <w:rPr>
                <w:spacing w:val="13"/>
                <w:highlight w:val="none"/>
              </w:rPr>
              <w:t>（5分）</w:t>
            </w:r>
          </w:p>
        </w:tc>
        <w:tc>
          <w:tcPr>
            <w:tcW w:w="5741" w:type="dxa"/>
            <w:vAlign w:val="top"/>
          </w:tcPr>
          <w:p w14:paraId="4690AFC5">
            <w:pPr>
              <w:pStyle w:val="8"/>
              <w:spacing w:before="113" w:line="337" w:lineRule="auto"/>
              <w:ind w:left="12" w:right="3" w:hanging="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根据供应商提供的成果质量控制措施、内部审核机制、评审保障手段等进行打分。措施完善、机制健全、保障有力的得5分；措施较完善、基本可行的得3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—</w:t>
            </w:r>
            <w:r>
              <w:rPr>
                <w:spacing w:val="-2"/>
                <w:highlight w:val="none"/>
              </w:rPr>
              <w:t>4分；措施</w:t>
            </w:r>
            <w:r>
              <w:rPr>
                <w:spacing w:val="-1"/>
                <w:highlight w:val="none"/>
              </w:rPr>
              <w:t>一般、保障较弱的得1</w:t>
            </w:r>
            <w:r>
              <w:rPr>
                <w:rFonts w:hint="eastAsia"/>
                <w:spacing w:val="-1"/>
                <w:highlight w:val="none"/>
                <w:lang w:eastAsia="zh-CN"/>
              </w:rPr>
              <w:t>—</w:t>
            </w:r>
            <w:r>
              <w:rPr>
                <w:spacing w:val="-1"/>
                <w:highlight w:val="none"/>
              </w:rPr>
              <w:t>2分；未提供的得0分。</w:t>
            </w:r>
          </w:p>
        </w:tc>
      </w:tr>
      <w:tr w14:paraId="75A1F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</w:trPr>
        <w:tc>
          <w:tcPr>
            <w:tcW w:w="796" w:type="dxa"/>
            <w:vMerge w:val="continue"/>
            <w:tcBorders>
              <w:top w:val="nil"/>
              <w:bottom w:val="nil"/>
            </w:tcBorders>
            <w:vAlign w:val="center"/>
          </w:tcPr>
          <w:p w14:paraId="582AF92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center"/>
          </w:tcPr>
          <w:p w14:paraId="1E4E1B22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7C48496D">
            <w:pPr>
              <w:pStyle w:val="8"/>
              <w:spacing w:before="78" w:line="361" w:lineRule="auto"/>
              <w:ind w:right="166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进度保障措施</w:t>
            </w:r>
            <w:r>
              <w:rPr>
                <w:spacing w:val="-4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457B0B90">
            <w:pPr>
              <w:pStyle w:val="8"/>
              <w:spacing w:before="117" w:line="341" w:lineRule="auto"/>
              <w:ind w:left="15" w:right="3" w:hanging="5"/>
              <w:jc w:val="both"/>
              <w:rPr>
                <w:highlight w:val="none"/>
              </w:rPr>
            </w:pPr>
            <w:r>
              <w:rPr>
                <w:spacing w:val="8"/>
                <w:highlight w:val="none"/>
              </w:rPr>
              <w:t>根据供应商提供的服务期限承诺及进度保障措施进行</w:t>
            </w:r>
            <w:r>
              <w:rPr>
                <w:spacing w:val="-2"/>
                <w:highlight w:val="none"/>
              </w:rPr>
              <w:t>打分，包括进度安排合理性、关键节点控制、逾期风险应对等。进度安排科学、保障措施具体的得10分；进度</w:t>
            </w:r>
            <w:r>
              <w:rPr>
                <w:spacing w:val="3"/>
                <w:highlight w:val="none"/>
              </w:rPr>
              <w:t>安排较合理、有基本保障措施的得6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—</w:t>
            </w:r>
            <w:r>
              <w:rPr>
                <w:spacing w:val="3"/>
                <w:highlight w:val="none"/>
              </w:rPr>
              <w:t>9分；进度安</w:t>
            </w:r>
            <w:r>
              <w:rPr>
                <w:spacing w:val="2"/>
                <w:highlight w:val="none"/>
              </w:rPr>
              <w:t>排一</w:t>
            </w:r>
            <w:r>
              <w:rPr>
                <w:spacing w:val="-1"/>
                <w:highlight w:val="none"/>
              </w:rPr>
              <w:t>般、保障措施较弱的得1</w:t>
            </w:r>
            <w:r>
              <w:rPr>
                <w:rFonts w:hint="eastAsia"/>
                <w:spacing w:val="-1"/>
                <w:highlight w:val="none"/>
                <w:lang w:eastAsia="zh-CN"/>
              </w:rPr>
              <w:t>—</w:t>
            </w:r>
            <w:r>
              <w:rPr>
                <w:spacing w:val="-1"/>
                <w:highlight w:val="none"/>
              </w:rPr>
              <w:t>5分；未提供的得0分。</w:t>
            </w:r>
          </w:p>
        </w:tc>
      </w:tr>
      <w:tr w14:paraId="09BA5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6" w:hRule="atLeast"/>
        </w:trPr>
        <w:tc>
          <w:tcPr>
            <w:tcW w:w="796" w:type="dxa"/>
            <w:vMerge w:val="continue"/>
            <w:tcBorders>
              <w:top w:val="nil"/>
            </w:tcBorders>
            <w:vAlign w:val="center"/>
          </w:tcPr>
          <w:p w14:paraId="6FADF8C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center"/>
          </w:tcPr>
          <w:p w14:paraId="38315066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63EB899D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后续服务承诺</w:t>
            </w:r>
          </w:p>
          <w:p w14:paraId="71B8C217">
            <w:pPr>
              <w:pStyle w:val="8"/>
              <w:spacing w:before="190" w:line="217" w:lineRule="auto"/>
              <w:ind w:left="441"/>
              <w:jc w:val="both"/>
              <w:rPr>
                <w:highlight w:val="none"/>
              </w:rPr>
            </w:pPr>
            <w:r>
              <w:rPr>
                <w:spacing w:val="13"/>
                <w:highlight w:val="none"/>
              </w:rPr>
              <w:t>（5分）</w:t>
            </w:r>
          </w:p>
        </w:tc>
        <w:tc>
          <w:tcPr>
            <w:tcW w:w="5741" w:type="dxa"/>
            <w:vAlign w:val="top"/>
          </w:tcPr>
          <w:p w14:paraId="55B040B2">
            <w:pPr>
              <w:pStyle w:val="8"/>
              <w:spacing w:before="118" w:line="336" w:lineRule="auto"/>
              <w:ind w:left="11" w:right="3" w:hanging="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根据供应商提供的后续技术支持、评审配合、报批协助等服务承诺进行打分。承诺内容具体、响应及时、服务周到的得5分；承诺较具体、基本满足需求的得3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—</w:t>
            </w:r>
            <w:r>
              <w:rPr>
                <w:spacing w:val="-2"/>
                <w:highlight w:val="none"/>
              </w:rPr>
              <w:t>4分；承诺一般、服务保障较弱的得1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—</w:t>
            </w:r>
            <w:r>
              <w:rPr>
                <w:spacing w:val="-2"/>
                <w:highlight w:val="none"/>
              </w:rPr>
              <w:t>2分；未</w:t>
            </w:r>
            <w:r>
              <w:rPr>
                <w:spacing w:val="-3"/>
                <w:highlight w:val="none"/>
              </w:rPr>
              <w:t>提供的得0分。</w:t>
            </w:r>
          </w:p>
        </w:tc>
      </w:tr>
      <w:tr w14:paraId="61797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796" w:type="dxa"/>
            <w:vMerge w:val="restart"/>
            <w:tcBorders>
              <w:bottom w:val="nil"/>
            </w:tcBorders>
            <w:vAlign w:val="center"/>
          </w:tcPr>
          <w:p w14:paraId="2B4E07A2">
            <w:pPr>
              <w:pStyle w:val="8"/>
              <w:spacing w:before="78" w:line="242" w:lineRule="auto"/>
              <w:ind w:left="356"/>
              <w:jc w:val="both"/>
              <w:rPr>
                <w:highlight w:val="none"/>
              </w:rPr>
            </w:pPr>
            <w:r>
              <w:rPr>
                <w:highlight w:val="none"/>
              </w:rPr>
              <w:t>5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center"/>
          </w:tcPr>
          <w:p w14:paraId="5CA668F6">
            <w:pPr>
              <w:pStyle w:val="8"/>
              <w:spacing w:before="78" w:line="361" w:lineRule="auto"/>
              <w:ind w:right="215"/>
              <w:jc w:val="center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综合部</w:t>
            </w:r>
            <w:r>
              <w:rPr>
                <w:spacing w:val="-3"/>
                <w:highlight w:val="none"/>
              </w:rPr>
              <w:t>分（30</w:t>
            </w:r>
            <w:r>
              <w:rPr>
                <w:spacing w:val="54"/>
                <w:highlight w:val="none"/>
              </w:rPr>
              <w:t>分）</w:t>
            </w:r>
          </w:p>
        </w:tc>
        <w:tc>
          <w:tcPr>
            <w:tcW w:w="1652" w:type="dxa"/>
            <w:vAlign w:val="center"/>
          </w:tcPr>
          <w:p w14:paraId="224EF10D">
            <w:pPr>
              <w:pStyle w:val="8"/>
              <w:spacing w:before="78" w:line="361" w:lineRule="auto"/>
              <w:ind w:right="380"/>
              <w:jc w:val="center"/>
              <w:rPr>
                <w:spacing w:val="-3"/>
                <w:highlight w:val="none"/>
              </w:rPr>
            </w:pPr>
            <w:r>
              <w:rPr>
                <w:spacing w:val="-3"/>
                <w:highlight w:val="none"/>
              </w:rPr>
              <w:t>企业资质</w:t>
            </w:r>
          </w:p>
          <w:p w14:paraId="3AA9984B">
            <w:pPr>
              <w:pStyle w:val="8"/>
              <w:spacing w:before="78" w:line="361" w:lineRule="auto"/>
              <w:ind w:right="380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（</w:t>
            </w:r>
            <w:r>
              <w:rPr>
                <w:rFonts w:hint="eastAsia"/>
                <w:spacing w:val="-5"/>
                <w:highlight w:val="none"/>
                <w:lang w:val="en-US" w:eastAsia="zh-CN"/>
              </w:rPr>
              <w:t>6</w:t>
            </w:r>
            <w:r>
              <w:rPr>
                <w:spacing w:val="-5"/>
                <w:highlight w:val="none"/>
              </w:rPr>
              <w:t>分）</w:t>
            </w:r>
          </w:p>
        </w:tc>
        <w:tc>
          <w:tcPr>
            <w:tcW w:w="5741" w:type="dxa"/>
            <w:vAlign w:val="top"/>
          </w:tcPr>
          <w:p w14:paraId="093CF586">
            <w:pPr>
              <w:pStyle w:val="8"/>
              <w:spacing w:before="118" w:line="328" w:lineRule="auto"/>
              <w:ind w:left="121" w:right="40" w:firstLine="17"/>
              <w:jc w:val="both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具备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测绘</w:t>
            </w:r>
            <w:r>
              <w:rPr>
                <w:spacing w:val="-11"/>
                <w:highlight w:val="none"/>
              </w:rPr>
              <w:t>具备甲级资质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得6</w:t>
            </w:r>
            <w:r>
              <w:rPr>
                <w:spacing w:val="-11"/>
                <w:highlight w:val="none"/>
              </w:rPr>
              <w:t>分</w:t>
            </w:r>
            <w:r>
              <w:rPr>
                <w:rFonts w:hint="eastAsia"/>
                <w:spacing w:val="-11"/>
                <w:highlight w:val="none"/>
                <w:lang w:eastAsia="zh-CN"/>
              </w:rPr>
              <w:t>，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未提供的不得分</w:t>
            </w:r>
            <w:r>
              <w:rPr>
                <w:spacing w:val="-11"/>
                <w:highlight w:val="none"/>
              </w:rPr>
              <w:t>。</w:t>
            </w:r>
          </w:p>
        </w:tc>
      </w:tr>
      <w:tr w14:paraId="4E94A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796" w:type="dxa"/>
            <w:vMerge w:val="continue"/>
            <w:tcBorders>
              <w:top w:val="nil"/>
              <w:bottom w:val="nil"/>
            </w:tcBorders>
            <w:vAlign w:val="center"/>
          </w:tcPr>
          <w:p w14:paraId="78F8482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center"/>
          </w:tcPr>
          <w:p w14:paraId="32F7BA3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31087BD0">
            <w:pPr>
              <w:pStyle w:val="8"/>
              <w:spacing w:before="78" w:line="361" w:lineRule="auto"/>
              <w:ind w:right="380"/>
              <w:jc w:val="center"/>
              <w:rPr>
                <w:spacing w:val="-3"/>
                <w:highlight w:val="none"/>
              </w:rPr>
            </w:pPr>
            <w:r>
              <w:rPr>
                <w:spacing w:val="-3"/>
                <w:highlight w:val="none"/>
              </w:rPr>
              <w:t>企业业绩</w:t>
            </w:r>
          </w:p>
          <w:p w14:paraId="1BC8A0B3">
            <w:pPr>
              <w:pStyle w:val="8"/>
              <w:spacing w:before="78" w:line="361" w:lineRule="auto"/>
              <w:ind w:right="380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1B40CE47">
            <w:pPr>
              <w:pStyle w:val="8"/>
              <w:spacing w:before="118" w:line="336" w:lineRule="auto"/>
              <w:ind w:left="109" w:right="106" w:firstLine="10"/>
              <w:jc w:val="both"/>
              <w:rPr>
                <w:highlight w:val="none"/>
              </w:rPr>
            </w:pPr>
            <w:r>
              <w:rPr>
                <w:spacing w:val="-13"/>
                <w:highlight w:val="none"/>
              </w:rPr>
              <w:t>近五年（自2021年</w:t>
            </w:r>
            <w:r>
              <w:rPr>
                <w:rFonts w:hint="eastAsia"/>
                <w:spacing w:val="-13"/>
                <w:highlight w:val="none"/>
                <w:lang w:val="en-US" w:eastAsia="zh-CN"/>
              </w:rPr>
              <w:t>10</w:t>
            </w:r>
            <w:r>
              <w:rPr>
                <w:spacing w:val="-13"/>
                <w:highlight w:val="none"/>
              </w:rPr>
              <w:t>月1日以来）承接过</w:t>
            </w:r>
            <w:r>
              <w:rPr>
                <w:rFonts w:hint="eastAsia"/>
                <w:spacing w:val="-13"/>
                <w:highlight w:val="none"/>
              </w:rPr>
              <w:t>地面电法</w:t>
            </w:r>
            <w:r>
              <w:rPr>
                <w:rFonts w:hint="eastAsia"/>
                <w:spacing w:val="-13"/>
                <w:highlight w:val="none"/>
                <w:lang w:val="en-US" w:eastAsia="zh-CN"/>
              </w:rPr>
              <w:t>项目</w:t>
            </w:r>
            <w:r>
              <w:rPr>
                <w:spacing w:val="-1"/>
                <w:highlight w:val="none"/>
              </w:rPr>
              <w:t>业绩的</w:t>
            </w:r>
            <w:r>
              <w:rPr>
                <w:spacing w:val="-1"/>
                <w:highlight w:val="none"/>
              </w:rPr>
              <w:t>，每提</w:t>
            </w:r>
            <w:r>
              <w:rPr>
                <w:highlight w:val="none"/>
              </w:rPr>
              <w:t>供一份有效业绩证明材料（合同或批复文件复印</w:t>
            </w:r>
            <w:r>
              <w:rPr>
                <w:spacing w:val="-1"/>
                <w:highlight w:val="none"/>
              </w:rPr>
              <w:t>件，</w:t>
            </w:r>
            <w:r>
              <w:rPr>
                <w:spacing w:val="-4"/>
                <w:highlight w:val="none"/>
              </w:rPr>
              <w:t>加盖公章）得2分，本项最高得10分。</w:t>
            </w:r>
          </w:p>
        </w:tc>
      </w:tr>
      <w:tr w14:paraId="1C235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3" w:hRule="atLeast"/>
        </w:trPr>
        <w:tc>
          <w:tcPr>
            <w:tcW w:w="796" w:type="dxa"/>
            <w:vMerge w:val="continue"/>
            <w:tcBorders>
              <w:top w:val="nil"/>
            </w:tcBorders>
            <w:vAlign w:val="center"/>
          </w:tcPr>
          <w:p w14:paraId="78F4DFF3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center"/>
          </w:tcPr>
          <w:p w14:paraId="63FADFD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1D5C5BF2">
            <w:pPr>
              <w:pStyle w:val="8"/>
              <w:spacing w:before="78" w:line="361" w:lineRule="auto"/>
              <w:ind w:right="286"/>
              <w:jc w:val="center"/>
              <w:rPr>
                <w:spacing w:val="-3"/>
                <w:highlight w:val="none"/>
              </w:rPr>
            </w:pPr>
            <w:r>
              <w:rPr>
                <w:spacing w:val="-3"/>
                <w:highlight w:val="none"/>
              </w:rPr>
              <w:t>项目负责人</w:t>
            </w:r>
          </w:p>
          <w:p w14:paraId="4A9FC62B">
            <w:pPr>
              <w:pStyle w:val="8"/>
              <w:spacing w:before="78" w:line="361" w:lineRule="auto"/>
              <w:ind w:right="286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7438939B">
            <w:pPr>
              <w:pStyle w:val="8"/>
              <w:spacing w:before="245" w:line="383" w:lineRule="auto"/>
              <w:ind w:left="113" w:right="109" w:firstLine="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项目负责人具有正高级工程师及以上职称的得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10</w:t>
            </w:r>
            <w:r>
              <w:rPr>
                <w:spacing w:val="-2"/>
                <w:highlight w:val="none"/>
              </w:rPr>
              <w:t>分；具有高级工程师职称的得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8</w:t>
            </w:r>
            <w:r>
              <w:rPr>
                <w:spacing w:val="-2"/>
                <w:highlight w:val="none"/>
              </w:rPr>
              <w:t>分；具有中级工程师职称的得4分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。</w:t>
            </w:r>
            <w:r>
              <w:rPr>
                <w:spacing w:val="-2"/>
                <w:highlight w:val="none"/>
              </w:rPr>
              <w:t>需提供职称证书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或</w:t>
            </w:r>
            <w:r>
              <w:rPr>
                <w:spacing w:val="-2"/>
                <w:highlight w:val="none"/>
              </w:rPr>
              <w:t>执业资格证书复印件、近</w:t>
            </w:r>
            <w:r>
              <w:rPr>
                <w:spacing w:val="-4"/>
                <w:highlight w:val="none"/>
              </w:rPr>
              <w:t>三个月社保证明。</w:t>
            </w:r>
          </w:p>
        </w:tc>
      </w:tr>
      <w:tr w14:paraId="29E6C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3" w:hRule="atLeast"/>
        </w:trPr>
        <w:tc>
          <w:tcPr>
            <w:tcW w:w="796" w:type="dxa"/>
            <w:tcBorders>
              <w:top w:val="nil"/>
            </w:tcBorders>
            <w:vAlign w:val="center"/>
          </w:tcPr>
          <w:p w14:paraId="5D6F32E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tcBorders>
              <w:top w:val="nil"/>
            </w:tcBorders>
            <w:vAlign w:val="center"/>
          </w:tcPr>
          <w:p w14:paraId="5E3F25CE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1D6D85BB">
            <w:pPr>
              <w:pStyle w:val="8"/>
              <w:spacing w:before="78" w:line="361" w:lineRule="auto"/>
              <w:ind w:right="380" w:rightChars="0"/>
              <w:jc w:val="center"/>
              <w:rPr>
                <w:rFonts w:hint="default"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pacing w:val="-5"/>
                <w:highlight w:val="none"/>
                <w:lang w:val="en-US" w:eastAsia="zh-CN"/>
              </w:rPr>
              <w:t>人员配备</w:t>
            </w:r>
            <w:r>
              <w:rPr>
                <w:spacing w:val="-5"/>
                <w:highlight w:val="none"/>
              </w:rPr>
              <w:t>（</w:t>
            </w:r>
            <w:r>
              <w:rPr>
                <w:rFonts w:hint="eastAsia"/>
                <w:spacing w:val="-5"/>
                <w:highlight w:val="none"/>
                <w:lang w:val="en-US" w:eastAsia="zh-CN"/>
              </w:rPr>
              <w:t>4</w:t>
            </w:r>
            <w:r>
              <w:rPr>
                <w:spacing w:val="-5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top"/>
          </w:tcPr>
          <w:p w14:paraId="1D677087">
            <w:pPr>
              <w:pStyle w:val="8"/>
              <w:spacing w:before="245" w:line="383" w:lineRule="auto"/>
              <w:ind w:right="109" w:rightChars="0"/>
              <w:rPr>
                <w:rFonts w:hint="eastAsia" w:ascii="FangSong_GB2312" w:hAnsi="FangSong_GB2312" w:eastAsia="FangSong_GB2312" w:cs="FangSong_GB2312"/>
                <w:snapToGrid w:val="0"/>
                <w:color w:val="000000"/>
                <w:spacing w:val="-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针对本项目</w:t>
            </w:r>
            <w:r>
              <w:rPr>
                <w:rFonts w:hint="eastAsia"/>
                <w:highlight w:val="none"/>
                <w:lang w:val="en-US" w:eastAsia="zh-CN"/>
              </w:rPr>
              <w:t>参与技术</w:t>
            </w:r>
            <w:r>
              <w:rPr>
                <w:rFonts w:hint="eastAsia"/>
                <w:highlight w:val="none"/>
              </w:rPr>
              <w:t>人员</w:t>
            </w:r>
            <w:r>
              <w:rPr>
                <w:rFonts w:hint="eastAsia"/>
                <w:highlight w:val="none"/>
                <w:lang w:val="en-US" w:eastAsia="zh-CN"/>
              </w:rPr>
              <w:t>具有注册地球物理勘查工程师，每增加一人得1</w:t>
            </w:r>
            <w:r>
              <w:rPr>
                <w:highlight w:val="none"/>
              </w:rPr>
              <w:t>分，</w:t>
            </w:r>
            <w:r>
              <w:rPr>
                <w:rFonts w:hint="eastAsia"/>
                <w:highlight w:val="none"/>
                <w:lang w:val="en-US" w:eastAsia="zh-CN"/>
              </w:rPr>
              <w:t>最高4分，</w:t>
            </w:r>
            <w:r>
              <w:rPr>
                <w:rFonts w:hint="eastAsia"/>
                <w:highlight w:val="none"/>
              </w:rPr>
              <w:t>否则不得分。</w:t>
            </w:r>
          </w:p>
        </w:tc>
      </w:tr>
      <w:tr w14:paraId="4B271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9468" w:type="dxa"/>
            <w:gridSpan w:val="4"/>
            <w:vAlign w:val="top"/>
          </w:tcPr>
          <w:p w14:paraId="32ACDAF1">
            <w:pPr>
              <w:pStyle w:val="8"/>
              <w:spacing w:before="118" w:line="329" w:lineRule="auto"/>
              <w:ind w:left="111" w:right="106"/>
              <w:jc w:val="both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供应商的最终得分：在各位评委完成对响应总报价、技术部分、综合部分的汇总后，评委打分的算术平均值，作为该供应商的最终得分。本办法计算过程中分值按四舍五入保留两</w:t>
            </w:r>
            <w:r>
              <w:rPr>
                <w:spacing w:val="-2"/>
                <w:highlight w:val="none"/>
              </w:rPr>
              <w:t>位小数。</w:t>
            </w:r>
          </w:p>
        </w:tc>
      </w:tr>
    </w:tbl>
    <w:p w14:paraId="40AD94AD">
      <w:pPr>
        <w:rPr>
          <w:rFonts w:ascii="Arial"/>
          <w:sz w:val="21"/>
          <w:highlight w:val="none"/>
        </w:rPr>
      </w:pPr>
      <w:bookmarkStart w:id="0" w:name="_GoBack"/>
      <w:bookmarkEnd w:id="0"/>
    </w:p>
    <w:sectPr>
      <w:footerReference r:id="rId7" w:type="default"/>
      <w:pgSz w:w="11906" w:h="16839"/>
      <w:pgMar w:top="1431" w:right="1008" w:bottom="1341" w:left="1424" w:header="0" w:footer="97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028DE8E-1A3D-4D4C-8ED7-8AED7BC2565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70889005-0A81-4AB1-94F8-9E453600DC6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138FADCE-51D2-495B-A64C-A2150AF37A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CC7F5">
    <w:pPr>
      <w:spacing w:line="235" w:lineRule="auto"/>
      <w:ind w:left="8046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8326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26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DD57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3.8pt;mso-position-horizontal:center;mso-position-horizontal-relative:margin;z-index:251659264;mso-width-relative:page;mso-height-relative:page;" filled="f" stroked="f" coordsize="21600,21600" o:gfxdata="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PvkGdQAAAAFAQAADwAAAAAAAAABACAAAAAiAAAAZHJzL2Rvd25yZXYueG1s&#10;UEsBAhQAFAAAAAgAh07iQGL3dO01AgAAYg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9DD57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C2CFF">
    <w:pPr>
      <w:spacing w:line="235" w:lineRule="auto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83895" cy="26416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895" cy="264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0322B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8pt;width:53.85pt;mso-position-horizontal:center;mso-position-horizontal-relative:margin;z-index:251660288;mso-width-relative:page;mso-height-relative:page;" filled="f" stroked="f" coordsize="21600,21600" o:gfxdata="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ZDMWbTAAAABAEAAA8AAAAAAAAAAQAgAAAAIgAAAGRycy9kb3ducmV2Lnht&#10;bFBLAQIUABQAAAAIAIdO4kCLlsjlNwIAAGEEAAAOAAAAAAAAAAEAIAAAACI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F0322B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A9A74">
    <w:pPr>
      <w:spacing w:line="235" w:lineRule="auto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009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C0641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6.7pt;mso-position-horizontal:center;mso-position-horizontal-relative:margin;z-index:251661312;mso-width-relative:page;mso-height-relative:page;" filled="f" stroked="f" coordsize="21600,21600" o:gfxdata="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PgIFx1AAAAAUBAAAPAAAAAAAAAAEAIAAAACIAAABkcnMvZG93bnJldi54&#10;bWxQSwECFAAUAAAACACHTuJAhTDAKTcCAABiBAAADgAAAAAAAAABACAAAAAj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C0641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FA1F99"/>
    <w:rsid w:val="025F42E5"/>
    <w:rsid w:val="05BB7F00"/>
    <w:rsid w:val="076B1CFB"/>
    <w:rsid w:val="103769DF"/>
    <w:rsid w:val="116D508C"/>
    <w:rsid w:val="142E3086"/>
    <w:rsid w:val="1BDA455A"/>
    <w:rsid w:val="1ECB5101"/>
    <w:rsid w:val="266E6322"/>
    <w:rsid w:val="2B340561"/>
    <w:rsid w:val="3528102E"/>
    <w:rsid w:val="35CD7D43"/>
    <w:rsid w:val="38847E22"/>
    <w:rsid w:val="3D931BCF"/>
    <w:rsid w:val="3F4F50C3"/>
    <w:rsid w:val="40F167F2"/>
    <w:rsid w:val="45835153"/>
    <w:rsid w:val="4766246E"/>
    <w:rsid w:val="49C33B4A"/>
    <w:rsid w:val="4B8708D2"/>
    <w:rsid w:val="4D07114B"/>
    <w:rsid w:val="5BFD2097"/>
    <w:rsid w:val="5C0C0242"/>
    <w:rsid w:val="5F301425"/>
    <w:rsid w:val="5F44453C"/>
    <w:rsid w:val="61235CD8"/>
    <w:rsid w:val="63DC5619"/>
    <w:rsid w:val="670E25DC"/>
    <w:rsid w:val="6A5223C8"/>
    <w:rsid w:val="6B025962"/>
    <w:rsid w:val="6E95181D"/>
    <w:rsid w:val="729B0987"/>
    <w:rsid w:val="744816C8"/>
    <w:rsid w:val="75CA6914"/>
    <w:rsid w:val="771C7972"/>
    <w:rsid w:val="77A415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7d4c6c19-d435-4955-9431-34c402ab81b1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2627CE7A</paraID>
      <start>0</start>
      <end>1</end>
      <status>modified</status>
      <modifiedWord>（</modifiedWord>
      <trackRevisions>false</trackRevisions>
    </reviewItem>
    <reviewItem>
      <errorID>9ab0051f-0476-437f-8d20-4a7332c1eead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2627CE7A</paraID>
      <start>7</start>
      <end>8</end>
      <status>modified</status>
      <modifiedWord>）</modifiedWord>
      <trackRevisions>false</trackRevisions>
    </reviewItem>
    <reviewItem>
      <errorID>62117c35-e994-48a1-a639-2986c051d32d</errorID>
      <errorWord>（</errorWord>
      <group>L1_Punc</group>
      <groupName>标点问题</groupName>
      <ability>L2_Punc_CN</ability>
      <abilityName/>
      <candidateList/>
      <explain>同一形式括号套用。</explain>
      <paraID> 615558B</paraID>
      <start>18</start>
      <end>19</end>
      <status>ignored</status>
      <modifiedWord/>
      <trackRevisions>false</trackRevisions>
    </reviewItem>
    <reviewItem>
      <errorID>4c65fe33-6771-4b2f-8847-f5c03f0be357</errorID>
      <errorWord>）</errorWord>
      <group>L1_Punc</group>
      <groupName>标点问题</groupName>
      <ability>L2_Punc_CN</ability>
      <abilityName/>
      <candidateList/>
      <explain>同一形式括号套用。</explain>
      <paraID> 615558B</paraID>
      <start>24</start>
      <end>25</end>
      <status>ignored</status>
      <modifiedWord/>
      <trackRevisions>false</trackRevisions>
    </reviewItem>
    <reviewItem>
      <errorID>00f408b8-6990-4919-aee4-f63ef6f984ae</errorID>
      <errorWord>（</errorWord>
      <group>L1_Punc</group>
      <groupName>标点问题</groupName>
      <ability>L2_Punc_CN</ability>
      <abilityName/>
      <candidateList/>
      <explain>同一形式括号套用。</explain>
      <paraID>42A959E4</paraID>
      <start>18</start>
      <end>19</end>
      <status>ignored</status>
      <modifiedWord/>
      <trackRevisions>false</trackRevisions>
    </reviewItem>
    <reviewItem>
      <errorID>9f7f5334-2e18-46de-b2d9-282d24c5170e</errorID>
      <errorWord>）</errorWord>
      <group>L1_Punc</group>
      <groupName>标点问题</groupName>
      <ability>L2_Punc_CN</ability>
      <abilityName/>
      <candidateList/>
      <explain>同一形式括号套用。</explain>
      <paraID>42A959E4</paraID>
      <start>24</start>
      <end>25</end>
      <status>ignored</status>
      <modifiedWord/>
      <trackRevisions>false</trackRevisions>
    </reviewItem>
    <reviewItem>
      <errorID>d4f386f1-f88a-40b1-8de9-fe70618c1f7b</errorID>
      <errorWord>（</errorWord>
      <group>L1_Punc</group>
      <groupName>标点问题</groupName>
      <ability>L2_Punc_CN</ability>
      <abilityName/>
      <candidateList/>
      <explain>同一形式括号套用。</explain>
      <paraID>37B506F7</paraID>
      <start>18</start>
      <end>19</end>
      <status>ignored</status>
      <modifiedWord/>
      <trackRevisions>false</trackRevisions>
    </reviewItem>
    <reviewItem>
      <errorID>fe4fcac9-bc8e-46b8-bad5-7748acdc14ee</errorID>
      <errorWord>）</errorWord>
      <group>L1_Punc</group>
      <groupName>标点问题</groupName>
      <ability>L2_Punc_CN</ability>
      <abilityName/>
      <candidateList/>
      <explain>同一形式括号套用。</explain>
      <paraID>37B506F7</paraID>
      <start>24</start>
      <end>25</end>
      <status>ignored</status>
      <modifiedWord/>
      <trackRevisions>false</trackRevisions>
    </reviewItem>
    <reviewItem>
      <errorID>8c35942e-be66-4ef0-880f-bbe9e951204b</errorID>
      <errorWord>二位</errorWord>
      <group>L1_Word</group>
      <groupName>字词问题</groupName>
      <ability>L2_Typo</ability>
      <abilityName>字词错误</abilityName>
      <candidateList>
        <item>两位</item>
      </candidateList>
      <explain/>
      <paraID>60CA9568</paraID>
      <start>12</start>
      <end>14</end>
      <status>modified</status>
      <modifiedWord>两位</modifiedWord>
      <trackRevisions>false</trackRevisions>
    </reviewItem>
    <reviewItem>
      <errorID>556bcdd1-2d6f-4823-89b1-aaa29f391e6a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53</start>
      <end>54</end>
      <status>modified</status>
      <modifiedWord>—</modifiedWord>
      <trackRevisions>false</trackRevisions>
    </reviewItem>
    <reviewItem>
      <errorID>39d78ba5-827f-4412-b276-2de20030ee7a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72</start>
      <end>73</end>
      <status>modified</status>
      <modifiedWord>—</modifiedWord>
      <trackRevisions>false</trackRevisions>
    </reviewItem>
    <reviewItem>
      <errorID>b6f16197-4e93-4f5d-b9c1-bf30528f7f2e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88</start>
      <end>89</end>
      <status>modified</status>
      <modifiedWord>—</modifiedWord>
      <trackRevisions>false</trackRevisions>
    </reviewItem>
    <reviewItem>
      <errorID>3f14ad40-86cc-4199-96df-c14076b4800b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84</start>
      <end>85</end>
      <status>modified</status>
      <modifiedWord>—</modifiedWord>
      <trackRevisions>false</trackRevisions>
    </reviewItem>
    <reviewItem>
      <errorID>5538803a-bf00-4712-bbce-3e21243a0cf1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101</start>
      <end>102</end>
      <status>modified</status>
      <modifiedWord>—</modifiedWord>
      <trackRevisions>false</trackRevisions>
    </reviewItem>
    <reviewItem>
      <errorID>909ab0a8-2e91-45df-bcda-b86f618b07e2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68</start>
      <end>69</end>
      <status>modified</status>
      <modifiedWord>—</modifiedWord>
      <trackRevisions>false</trackRevisions>
    </reviewItem>
    <reviewItem>
      <errorID>f861ead8-3107-4dc6-b238-9f01aca41571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84</start>
      <end>85</end>
      <status>modified</status>
      <modifiedWord>—</modifiedWord>
      <trackRevisions>false</trackRevisions>
    </reviewItem>
    <reviewItem>
      <errorID>42a13622-2dbd-480d-a48b-bf3b9e7a5aa6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88</start>
      <end>89</end>
      <status>modified</status>
      <modifiedWord>—</modifiedWord>
      <trackRevisions>false</trackRevisions>
    </reviewItem>
    <reviewItem>
      <errorID>426bcdf2-8e52-4c33-9b43-26575c59bd84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108</start>
      <end>109</end>
      <status>modified</status>
      <modifiedWord>—</modifiedWord>
      <trackRevisions>false</trackRevisions>
    </reviewItem>
    <reviewItem>
      <errorID>6ef3ab38-d709-4400-96c6-9c3b8c4c2bc1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70</start>
      <end>71</end>
      <status>modified</status>
      <modifiedWord>—</modifiedWord>
      <trackRevisions>false</trackRevisions>
    </reviewItem>
    <reviewItem>
      <errorID>9f956ff9-f4a0-4eec-8554-307c94c4d2b3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88</start>
      <end>89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9c1739-94d8-47a9-be4f-a79803daa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1617</Words>
  <Characters>1661</Characters>
  <TotalTime>11</TotalTime>
  <ScaleCrop>false</ScaleCrop>
  <LinksUpToDate>false</LinksUpToDate>
  <CharactersWithSpaces>1661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2026-06-26T17:57:00Z</dcterms:created>
  <dc:creator>1</dc:creator>
  <cp:lastModifiedBy>陈光</cp:lastModifiedBy>
  <dcterms:modified xsi:type="dcterms:W3CDTF">2026-10-15T11:22:39Z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2026-06-29T16:41:31Z</vt:filetime>
  </property>
  <property fmtid="{D5CDD505-2E9C-101B-9397-08002B2CF9AE}" pid="4" name="KSOTemplateDocerSaveRecord">
    <vt:lpwstr>eyJoZGlkIjoiYmJmYTJiYTk3M2IyZjAzYjNmZDlmYTIwZDI0ZDI4OTAiLCJ1c2VySWQiOiIxOTcxMTY2MDIifQ==</vt:lpwstr>
  </property>
  <property fmtid="{D5CDD505-2E9C-101B-9397-08002B2CF9AE}" pid="5" name="KSOProductBuildVer">
    <vt:lpwstr>2052-12.1.0.29161</vt:lpwstr>
  </property>
  <property fmtid="{D5CDD505-2E9C-101B-9397-08002B2CF9AE}" pid="6" name="ICV">
    <vt:lpwstr>C2CA7A11DED344B7BF647B479D50675B_13</vt:lpwstr>
  </property>
</Properties>
</file>