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89BFC">
      <w:pPr>
        <w:spacing w:line="560" w:lineRule="exact"/>
        <w:jc w:val="center"/>
        <w:rPr>
          <w:rFonts w:hint="eastAsia" w:ascii="方正小标宋简体" w:hAnsi="方正小标宋简体" w:eastAsia="方正小标宋简体" w:cs="方正小标宋简体"/>
          <w:b w:val="0"/>
          <w:bCs w:val="0"/>
          <w:color w:val="auto"/>
          <w:sz w:val="40"/>
          <w:szCs w:val="40"/>
          <w:lang w:val="en-US" w:eastAsia="zh-CN"/>
        </w:rPr>
      </w:pPr>
      <w:r>
        <w:rPr>
          <w:rFonts w:hint="eastAsia" w:ascii="方正小标宋简体" w:hAnsi="方正小标宋简体" w:eastAsia="方正小标宋简体" w:cs="方正小标宋简体"/>
          <w:b w:val="0"/>
          <w:bCs w:val="0"/>
          <w:color w:val="auto"/>
          <w:sz w:val="40"/>
          <w:szCs w:val="40"/>
          <w:lang w:val="en-US" w:eastAsia="zh-CN"/>
        </w:rPr>
        <w:t>评分细则</w:t>
      </w:r>
    </w:p>
    <w:tbl>
      <w:tblPr>
        <w:tblStyle w:val="4"/>
        <w:tblpPr w:leftFromText="180" w:rightFromText="180" w:vertAnchor="text" w:horzAnchor="page" w:tblpX="2289" w:tblpY="464"/>
        <w:tblOverlap w:val="never"/>
        <w:tblW w:w="126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3832"/>
        <w:gridCol w:w="6382"/>
        <w:gridCol w:w="1062"/>
      </w:tblGrid>
      <w:tr w14:paraId="1ED3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351" w:type="dxa"/>
            <w:shd w:val="clear" w:color="auto" w:fill="D9D9D9"/>
            <w:noWrap/>
            <w:vAlign w:val="center"/>
          </w:tcPr>
          <w:p w14:paraId="09E395B9">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方正仿宋_GB2312" w:hAnsi="方正仿宋_GB2312" w:eastAsia="方正仿宋_GB2312" w:cs="方正仿宋_GB2312"/>
                <w:b/>
                <w:bCs/>
                <w:color w:val="auto"/>
                <w:sz w:val="28"/>
                <w:szCs w:val="28"/>
              </w:rPr>
            </w:pPr>
            <w:r>
              <w:rPr>
                <w:rFonts w:hint="eastAsia" w:ascii="方正仿宋_GB2312" w:hAnsi="方正仿宋_GB2312" w:cs="方正仿宋_GB2312"/>
                <w:b/>
                <w:bCs/>
                <w:color w:val="auto"/>
                <w:kern w:val="0"/>
                <w:sz w:val="28"/>
                <w:szCs w:val="28"/>
                <w:lang w:val="en-US" w:eastAsia="zh-CN" w:bidi="ar"/>
              </w:rPr>
              <w:t>评分</w:t>
            </w:r>
            <w:r>
              <w:rPr>
                <w:rFonts w:hint="eastAsia" w:ascii="方正仿宋_GB2312" w:hAnsi="方正仿宋_GB2312" w:eastAsia="方正仿宋_GB2312" w:cs="方正仿宋_GB2312"/>
                <w:b/>
                <w:bCs/>
                <w:color w:val="auto"/>
                <w:kern w:val="0"/>
                <w:sz w:val="28"/>
                <w:szCs w:val="28"/>
                <w:lang w:bidi="ar"/>
              </w:rPr>
              <w:t>模块</w:t>
            </w:r>
          </w:p>
        </w:tc>
        <w:tc>
          <w:tcPr>
            <w:tcW w:w="3832" w:type="dxa"/>
            <w:shd w:val="clear" w:color="auto" w:fill="D9D9D9"/>
            <w:noWrap/>
            <w:vAlign w:val="center"/>
          </w:tcPr>
          <w:p w14:paraId="57B7DAED">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方正仿宋_GB2312" w:hAnsi="方正仿宋_GB2312" w:eastAsia="方正仿宋_GB2312" w:cs="方正仿宋_GB2312"/>
                <w:b/>
                <w:bCs/>
                <w:color w:val="auto"/>
                <w:sz w:val="28"/>
                <w:szCs w:val="28"/>
                <w:lang w:val="en-US" w:eastAsia="zh-CN"/>
              </w:rPr>
            </w:pPr>
            <w:r>
              <w:rPr>
                <w:rFonts w:hint="eastAsia" w:ascii="方正仿宋_GB2312" w:hAnsi="方正仿宋_GB2312" w:cs="方正仿宋_GB2312"/>
                <w:b/>
                <w:bCs/>
                <w:color w:val="auto"/>
                <w:kern w:val="0"/>
                <w:sz w:val="28"/>
                <w:szCs w:val="28"/>
                <w:lang w:val="en-US" w:eastAsia="zh-CN" w:bidi="ar"/>
              </w:rPr>
              <w:t>评审分项</w:t>
            </w:r>
          </w:p>
        </w:tc>
        <w:tc>
          <w:tcPr>
            <w:tcW w:w="6382" w:type="dxa"/>
            <w:shd w:val="clear" w:color="auto" w:fill="D9D9D9"/>
            <w:noWrap/>
            <w:vAlign w:val="center"/>
          </w:tcPr>
          <w:p w14:paraId="08B6F29E">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方正仿宋_GB2312" w:hAnsi="方正仿宋_GB2312" w:eastAsia="方正仿宋_GB2312" w:cs="方正仿宋_GB2312"/>
                <w:b/>
                <w:bCs/>
                <w:color w:val="auto"/>
                <w:kern w:val="0"/>
                <w:sz w:val="28"/>
                <w:szCs w:val="28"/>
                <w:lang w:val="en-US" w:eastAsia="zh-CN" w:bidi="ar"/>
              </w:rPr>
            </w:pPr>
            <w:r>
              <w:rPr>
                <w:rFonts w:hint="eastAsia" w:ascii="方正仿宋_GB2312" w:hAnsi="方正仿宋_GB2312" w:cs="方正仿宋_GB2312"/>
                <w:b/>
                <w:bCs/>
                <w:color w:val="auto"/>
                <w:kern w:val="0"/>
                <w:sz w:val="28"/>
                <w:szCs w:val="28"/>
                <w:lang w:val="en-US" w:eastAsia="zh-CN" w:bidi="ar"/>
              </w:rPr>
              <w:t>详细评分细则</w:t>
            </w:r>
          </w:p>
        </w:tc>
        <w:tc>
          <w:tcPr>
            <w:tcW w:w="1062" w:type="dxa"/>
            <w:shd w:val="clear" w:color="auto" w:fill="D9D9D9"/>
            <w:noWrap/>
            <w:vAlign w:val="center"/>
          </w:tcPr>
          <w:p w14:paraId="611DB896">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方正仿宋_GB2312" w:hAnsi="方正仿宋_GB2312" w:eastAsia="方正仿宋_GB2312" w:cs="方正仿宋_GB2312"/>
                <w:b/>
                <w:bCs/>
                <w:color w:val="auto"/>
                <w:kern w:val="0"/>
                <w:sz w:val="28"/>
                <w:szCs w:val="28"/>
                <w:lang w:val="en-US" w:eastAsia="zh-CN" w:bidi="ar"/>
              </w:rPr>
            </w:pPr>
            <w:r>
              <w:rPr>
                <w:rFonts w:hint="eastAsia" w:ascii="方正仿宋_GB2312" w:hAnsi="方正仿宋_GB2312" w:cs="方正仿宋_GB2312"/>
                <w:b/>
                <w:bCs/>
                <w:color w:val="auto"/>
                <w:kern w:val="0"/>
                <w:sz w:val="28"/>
                <w:szCs w:val="28"/>
                <w:lang w:val="en-US" w:eastAsia="zh-CN" w:bidi="ar"/>
              </w:rPr>
              <w:t>得分</w:t>
            </w:r>
          </w:p>
        </w:tc>
      </w:tr>
      <w:tr w14:paraId="2262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0" w:hRule="atLeast"/>
        </w:trPr>
        <w:tc>
          <w:tcPr>
            <w:tcW w:w="1351" w:type="dxa"/>
            <w:shd w:val="clear" w:color="auto" w:fill="auto"/>
            <w:vAlign w:val="center"/>
          </w:tcPr>
          <w:p w14:paraId="3E6AC6A5">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报价部分</w:t>
            </w:r>
          </w:p>
          <w:p w14:paraId="2A28B0D2">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（响应报价评分标准）</w:t>
            </w:r>
          </w:p>
          <w:p w14:paraId="6571FD82">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8"/>
                <w:szCs w:val="28"/>
                <w:highlight w:val="none"/>
                <w:lang w:val="en-US" w:eastAsia="zh-CN"/>
              </w:rPr>
              <w:t>（50分）</w:t>
            </w:r>
          </w:p>
        </w:tc>
        <w:tc>
          <w:tcPr>
            <w:tcW w:w="3832" w:type="dxa"/>
            <w:shd w:val="clear" w:color="auto" w:fill="auto"/>
            <w:vAlign w:val="center"/>
          </w:tcPr>
          <w:p w14:paraId="51886EC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28"/>
                <w:szCs w:val="28"/>
                <w:highlight w:val="none"/>
                <w:lang w:eastAsia="zh-CN"/>
              </w:rPr>
            </w:pPr>
          </w:p>
          <w:p w14:paraId="3C4C53A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28"/>
                <w:szCs w:val="28"/>
                <w:highlight w:val="none"/>
                <w:lang w:eastAsia="zh-CN"/>
              </w:rPr>
            </w:pPr>
          </w:p>
          <w:p w14:paraId="48D9448A">
            <w:pPr>
              <w:widowControl/>
              <w:spacing w:line="400" w:lineRule="exact"/>
              <w:jc w:val="center"/>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响应报价得分标准</w:t>
            </w:r>
          </w:p>
          <w:p w14:paraId="5B52C839">
            <w:pPr>
              <w:widowControl/>
              <w:spacing w:line="400" w:lineRule="exact"/>
              <w:jc w:val="center"/>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（50分）</w:t>
            </w:r>
          </w:p>
        </w:tc>
        <w:tc>
          <w:tcPr>
            <w:tcW w:w="6382" w:type="dxa"/>
            <w:shd w:val="clear" w:color="auto" w:fill="auto"/>
            <w:vAlign w:val="center"/>
          </w:tcPr>
          <w:p w14:paraId="4A426D3F"/>
          <w:p w14:paraId="31DCA36C"/>
          <w:p w14:paraId="6A90DF42">
            <w:pPr>
              <w:keepNext w:val="0"/>
              <w:keepLines w:val="0"/>
              <w:pageBreakBefore w:val="0"/>
              <w:widowControl/>
              <w:numPr>
                <w:ilvl w:val="0"/>
                <w:numId w:val="0"/>
              </w:numPr>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（1）以有效响应供应商中的最低不含税评标价为价格满分基准价；</w:t>
            </w:r>
          </w:p>
          <w:p w14:paraId="780C0B86">
            <w:pPr>
              <w:keepNext w:val="0"/>
              <w:keepLines w:val="0"/>
              <w:pageBreakBefore w:val="0"/>
              <w:widowControl/>
              <w:numPr>
                <w:ilvl w:val="0"/>
                <w:numId w:val="0"/>
              </w:numPr>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（2）价格得分计算公式：价格得分=（基准价÷供应商报价）×50；</w:t>
            </w:r>
          </w:p>
          <w:p w14:paraId="5DED26B5">
            <w:pPr>
              <w:keepNext w:val="0"/>
              <w:keepLines w:val="0"/>
              <w:pageBreakBefore w:val="0"/>
              <w:widowControl/>
              <w:numPr>
                <w:ilvl w:val="0"/>
                <w:numId w:val="0"/>
              </w:numPr>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（3）报价高于采购最高限价的，直接作废标处理；</w:t>
            </w:r>
          </w:p>
          <w:p w14:paraId="6C041008">
            <w:pPr>
              <w:keepNext w:val="0"/>
              <w:keepLines w:val="0"/>
              <w:pageBreakBefore w:val="0"/>
              <w:widowControl/>
              <w:numPr>
                <w:ilvl w:val="0"/>
                <w:numId w:val="0"/>
              </w:numPr>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（4）报价明显低于市场合理价格、存在恶意低价、无法保证服务质量的，评审组有权作无效响应处理。</w:t>
            </w:r>
          </w:p>
          <w:p w14:paraId="0B47562E">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p>
        </w:tc>
        <w:tc>
          <w:tcPr>
            <w:tcW w:w="1062" w:type="dxa"/>
            <w:shd w:val="clear" w:color="auto" w:fill="auto"/>
            <w:vAlign w:val="center"/>
          </w:tcPr>
          <w:p w14:paraId="4B9F2909">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 w:hAnsi="仿宋" w:eastAsia="仿宋" w:cs="仿宋"/>
                <w:b w:val="0"/>
                <w:bCs w:val="0"/>
                <w:color w:val="auto"/>
                <w:kern w:val="0"/>
                <w:sz w:val="24"/>
                <w:szCs w:val="24"/>
                <w:highlight w:val="none"/>
                <w:lang w:val="en-US" w:eastAsia="zh-CN" w:bidi="ar"/>
              </w:rPr>
            </w:pPr>
          </w:p>
        </w:tc>
      </w:tr>
    </w:tbl>
    <w:p w14:paraId="47CE8D01">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8"/>
          <w:szCs w:val="28"/>
          <w:highlight w:val="none"/>
          <w:lang w:val="en-US" w:eastAsia="zh-CN"/>
        </w:rPr>
        <w:sectPr>
          <w:footerReference r:id="rId3" w:type="default"/>
          <w:footerReference r:id="rId4" w:type="even"/>
          <w:pgSz w:w="16838" w:h="11906" w:orient="landscape"/>
          <w:pgMar w:top="1588" w:right="2098" w:bottom="1474" w:left="1984" w:header="1361" w:footer="1417" w:gutter="0"/>
          <w:pgBorders>
            <w:top w:val="none" w:sz="0" w:space="0"/>
            <w:left w:val="none" w:sz="0" w:space="0"/>
            <w:bottom w:val="none" w:sz="0" w:space="0"/>
            <w:right w:val="none" w:sz="0" w:space="0"/>
          </w:pgBorders>
          <w:pgNumType w:fmt="decimal"/>
          <w:cols w:space="425" w:num="1"/>
          <w:docGrid w:type="lines" w:linePitch="312" w:charSpace="0"/>
        </w:sectPr>
      </w:pPr>
    </w:p>
    <w:tbl>
      <w:tblPr>
        <w:tblStyle w:val="4"/>
        <w:tblpPr w:leftFromText="180" w:rightFromText="180" w:vertAnchor="text" w:horzAnchor="page" w:tblpX="2289" w:tblpY="464"/>
        <w:tblOverlap w:val="never"/>
        <w:tblW w:w="126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3832"/>
        <w:gridCol w:w="6382"/>
        <w:gridCol w:w="1062"/>
      </w:tblGrid>
      <w:tr w14:paraId="7501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1" w:type="dxa"/>
            <w:vMerge w:val="restart"/>
            <w:shd w:val="clear" w:color="auto" w:fill="auto"/>
            <w:vAlign w:val="center"/>
          </w:tcPr>
          <w:p w14:paraId="1B1A75A2">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default"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技术部分评分标准</w:t>
            </w:r>
          </w:p>
          <w:p w14:paraId="4B8E1ABE">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（30分）</w:t>
            </w:r>
          </w:p>
          <w:p w14:paraId="0EFBF039">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注：以上各项如有缺项，则所缺项得0分。</w:t>
            </w:r>
          </w:p>
        </w:tc>
        <w:tc>
          <w:tcPr>
            <w:tcW w:w="3832" w:type="dxa"/>
            <w:shd w:val="clear" w:color="auto" w:fill="auto"/>
            <w:vAlign w:val="center"/>
          </w:tcPr>
          <w:p w14:paraId="746BB025">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1.整体服务方案完整性、合理性、针对性</w:t>
            </w:r>
          </w:p>
          <w:p w14:paraId="13F3B403">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（10分）</w:t>
            </w:r>
          </w:p>
        </w:tc>
        <w:tc>
          <w:tcPr>
            <w:tcW w:w="6382" w:type="dxa"/>
            <w:shd w:val="clear" w:color="auto" w:fill="auto"/>
            <w:vAlign w:val="center"/>
          </w:tcPr>
          <w:p w14:paraId="77D129C1">
            <w:pPr>
              <w:keepNext w:val="0"/>
              <w:keepLines w:val="0"/>
              <w:pageBreakBefore w:val="0"/>
              <w:widowControl/>
              <w:kinsoku/>
              <w:wordWrap/>
              <w:overflowPunct/>
              <w:topLinePunct w:val="0"/>
              <w:autoSpaceDE/>
              <w:autoSpaceDN/>
              <w:bidi w:val="0"/>
              <w:adjustRightInd/>
              <w:snapToGrid w:val="0"/>
              <w:spacing w:line="400" w:lineRule="exact"/>
              <w:jc w:val="left"/>
              <w:textAlignment w:val="center"/>
            </w:pPr>
            <w:r>
              <w:rPr>
                <w:rFonts w:hint="eastAsia" w:ascii="仿宋_GB2312" w:hAnsi="仿宋_GB2312" w:eastAsia="仿宋_GB2312" w:cs="仿宋_GB2312"/>
                <w:b w:val="0"/>
                <w:bCs w:val="0"/>
                <w:color w:val="auto"/>
                <w:sz w:val="28"/>
                <w:szCs w:val="28"/>
                <w:highlight w:val="none"/>
                <w:lang w:val="en-US" w:eastAsia="zh-CN"/>
              </w:rPr>
              <w:t>根据供应商针对本次投资性房地产公允价值评估项目编制的整体实施方案、工作流程、实施思路、质量控制措施、进度保障措施完整程度综合打分。</w:t>
            </w:r>
          </w:p>
          <w:p w14:paraId="54FC6B8A">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服务方案具有针对性，能够根据项目需求情况提出详细、具体、明确的服务流程、服务方式方法、服务成果标准等。</w:t>
            </w:r>
          </w:p>
          <w:p w14:paraId="231CF722">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优秀得 8-10 分；良好 4-8 分，一般 0-4 分。</w:t>
            </w:r>
          </w:p>
        </w:tc>
        <w:tc>
          <w:tcPr>
            <w:tcW w:w="1062" w:type="dxa"/>
            <w:shd w:val="clear" w:color="auto" w:fill="auto"/>
            <w:vAlign w:val="center"/>
          </w:tcPr>
          <w:p w14:paraId="2A4E5008">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 w:hAnsi="仿宋" w:eastAsia="仿宋" w:cs="仿宋"/>
                <w:b w:val="0"/>
                <w:bCs w:val="0"/>
                <w:color w:val="auto"/>
                <w:kern w:val="0"/>
                <w:sz w:val="24"/>
                <w:szCs w:val="24"/>
                <w:highlight w:val="none"/>
                <w:lang w:val="en-US" w:eastAsia="zh-CN" w:bidi="ar"/>
              </w:rPr>
            </w:pPr>
          </w:p>
        </w:tc>
      </w:tr>
      <w:tr w14:paraId="38631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1" w:type="dxa"/>
            <w:vMerge w:val="continue"/>
            <w:shd w:val="clear" w:color="auto" w:fill="auto"/>
            <w:vAlign w:val="center"/>
          </w:tcPr>
          <w:p w14:paraId="4435E2C0">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8"/>
                <w:szCs w:val="28"/>
                <w:highlight w:val="none"/>
                <w:lang w:val="en-US" w:eastAsia="zh-CN"/>
              </w:rPr>
            </w:pPr>
          </w:p>
        </w:tc>
        <w:tc>
          <w:tcPr>
            <w:tcW w:w="3832" w:type="dxa"/>
            <w:shd w:val="clear" w:color="auto" w:fill="auto"/>
            <w:vAlign w:val="center"/>
          </w:tcPr>
          <w:p w14:paraId="41775489">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2.评估工作质量保障体系及质控措施</w:t>
            </w:r>
          </w:p>
          <w:p w14:paraId="7CBA3993">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（10分）</w:t>
            </w:r>
          </w:p>
        </w:tc>
        <w:tc>
          <w:tcPr>
            <w:tcW w:w="6382" w:type="dxa"/>
            <w:shd w:val="clear" w:color="auto" w:fill="auto"/>
            <w:vAlign w:val="center"/>
          </w:tcPr>
          <w:p w14:paraId="3CA95CFF">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质量目标明确，并有实现质量保障措施，具有各阶段的工作内容、工作方法、工作重点、难点分析及相关的处理方法。</w:t>
            </w:r>
          </w:p>
          <w:p w14:paraId="61745775">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制定全面的服务质量保障措施，对服务过程中的关键节点有具体质量控制措施和处理方法 。</w:t>
            </w:r>
          </w:p>
          <w:p w14:paraId="7E8A4463">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优秀得 8-10 分；良好 4-8 分，一般 0-4 分。</w:t>
            </w:r>
          </w:p>
        </w:tc>
        <w:tc>
          <w:tcPr>
            <w:tcW w:w="1062" w:type="dxa"/>
            <w:shd w:val="clear" w:color="auto" w:fill="auto"/>
            <w:vAlign w:val="center"/>
          </w:tcPr>
          <w:p w14:paraId="7ACC08EA">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 w:hAnsi="仿宋" w:eastAsia="仿宋" w:cs="仿宋"/>
                <w:b w:val="0"/>
                <w:bCs w:val="0"/>
                <w:color w:val="auto"/>
                <w:kern w:val="0"/>
                <w:sz w:val="24"/>
                <w:szCs w:val="24"/>
                <w:highlight w:val="none"/>
                <w:lang w:val="en-US" w:eastAsia="zh-CN" w:bidi="ar"/>
              </w:rPr>
            </w:pPr>
          </w:p>
        </w:tc>
      </w:tr>
      <w:tr w14:paraId="6149E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1" w:type="dxa"/>
            <w:vMerge w:val="continue"/>
            <w:shd w:val="clear" w:color="auto" w:fill="auto"/>
            <w:vAlign w:val="center"/>
          </w:tcPr>
          <w:p w14:paraId="4D3D5A03">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8"/>
                <w:szCs w:val="28"/>
                <w:highlight w:val="none"/>
                <w:lang w:val="en-US" w:eastAsia="zh-CN"/>
              </w:rPr>
            </w:pPr>
          </w:p>
        </w:tc>
        <w:tc>
          <w:tcPr>
            <w:tcW w:w="3832" w:type="dxa"/>
            <w:shd w:val="clear" w:color="auto" w:fill="auto"/>
            <w:vAlign w:val="center"/>
          </w:tcPr>
          <w:p w14:paraId="7E0DEBEB">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3、项目进度计划及交付保障</w:t>
            </w:r>
          </w:p>
          <w:p w14:paraId="2F9340F0">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（6分）</w:t>
            </w:r>
          </w:p>
        </w:tc>
        <w:tc>
          <w:tcPr>
            <w:tcW w:w="6382" w:type="dxa"/>
            <w:shd w:val="clear" w:color="auto" w:fill="auto"/>
            <w:vAlign w:val="center"/>
          </w:tcPr>
          <w:p w14:paraId="48BD7CA3">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根据供应商进场计划、工作排期、报告编制、底稿完善、按时交付保障措施、应急处理方案进行打分。</w:t>
            </w:r>
          </w:p>
          <w:p w14:paraId="431663AD">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优秀得 4-6 分；良好 2-4 分，一般 0-2 分。</w:t>
            </w:r>
          </w:p>
        </w:tc>
        <w:tc>
          <w:tcPr>
            <w:tcW w:w="1062" w:type="dxa"/>
            <w:shd w:val="clear" w:color="auto" w:fill="auto"/>
            <w:vAlign w:val="center"/>
          </w:tcPr>
          <w:p w14:paraId="2AC5FB6C">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 w:hAnsi="仿宋" w:eastAsia="仿宋" w:cs="仿宋"/>
                <w:b w:val="0"/>
                <w:bCs w:val="0"/>
                <w:color w:val="auto"/>
                <w:kern w:val="0"/>
                <w:sz w:val="24"/>
                <w:szCs w:val="24"/>
                <w:highlight w:val="none"/>
                <w:lang w:val="en-US" w:eastAsia="zh-CN" w:bidi="ar"/>
              </w:rPr>
            </w:pPr>
          </w:p>
        </w:tc>
      </w:tr>
      <w:tr w14:paraId="5B61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1" w:type="dxa"/>
            <w:vMerge w:val="continue"/>
            <w:shd w:val="clear" w:color="auto" w:fill="auto"/>
            <w:vAlign w:val="center"/>
          </w:tcPr>
          <w:p w14:paraId="7FA37489">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8"/>
                <w:szCs w:val="28"/>
                <w:highlight w:val="none"/>
                <w:lang w:val="en-US" w:eastAsia="zh-CN"/>
              </w:rPr>
            </w:pPr>
          </w:p>
        </w:tc>
        <w:tc>
          <w:tcPr>
            <w:tcW w:w="3832" w:type="dxa"/>
            <w:shd w:val="clear" w:color="auto" w:fill="auto"/>
            <w:vAlign w:val="center"/>
          </w:tcPr>
          <w:p w14:paraId="64458A46">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4、后续服务、答疑及配合保障</w:t>
            </w:r>
          </w:p>
          <w:p w14:paraId="394F1464">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（4分）</w:t>
            </w:r>
          </w:p>
        </w:tc>
        <w:tc>
          <w:tcPr>
            <w:tcW w:w="6382" w:type="dxa"/>
            <w:shd w:val="clear" w:color="auto" w:fill="auto"/>
            <w:vAlign w:val="center"/>
          </w:tcPr>
          <w:p w14:paraId="794580E2">
            <w:pPr>
              <w:keepNext w:val="0"/>
              <w:keepLines w:val="0"/>
              <w:pageBreakBefore w:val="0"/>
              <w:widowControl/>
              <w:kinsoku/>
              <w:wordWrap/>
              <w:overflowPunct/>
              <w:topLinePunct w:val="0"/>
              <w:autoSpaceDE/>
              <w:autoSpaceDN/>
              <w:bidi w:val="0"/>
              <w:adjustRightInd/>
              <w:snapToGrid w:val="0"/>
              <w:spacing w:line="400" w:lineRule="exact"/>
              <w:jc w:val="left"/>
              <w:textAlignment w:val="center"/>
            </w:pPr>
            <w:r>
              <w:rPr>
                <w:rFonts w:hint="eastAsia" w:ascii="仿宋_GB2312" w:hAnsi="仿宋_GB2312" w:eastAsia="仿宋_GB2312" w:cs="仿宋_GB2312"/>
                <w:b w:val="0"/>
                <w:bCs w:val="0"/>
                <w:color w:val="auto"/>
                <w:sz w:val="28"/>
                <w:szCs w:val="28"/>
                <w:highlight w:val="none"/>
                <w:lang w:val="en-US" w:eastAsia="zh-CN"/>
              </w:rPr>
              <w:t>根据供应商后期配合甲方财务核算、年报披露、审计问询、资料补充、答疑解释等配套服务承诺完善程度打分。</w:t>
            </w:r>
          </w:p>
          <w:p w14:paraId="7EB1ACE6">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优秀得 2-4 分；良好 1-2 分，一般 0-1 分。</w:t>
            </w:r>
          </w:p>
        </w:tc>
        <w:tc>
          <w:tcPr>
            <w:tcW w:w="1062" w:type="dxa"/>
            <w:shd w:val="clear" w:color="auto" w:fill="auto"/>
            <w:vAlign w:val="center"/>
          </w:tcPr>
          <w:p w14:paraId="3C714854">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 w:hAnsi="仿宋" w:eastAsia="仿宋" w:cs="仿宋"/>
                <w:b w:val="0"/>
                <w:bCs w:val="0"/>
                <w:color w:val="auto"/>
                <w:kern w:val="0"/>
                <w:sz w:val="24"/>
                <w:szCs w:val="24"/>
                <w:highlight w:val="none"/>
                <w:lang w:val="en-US" w:eastAsia="zh-CN" w:bidi="ar"/>
              </w:rPr>
            </w:pPr>
          </w:p>
        </w:tc>
      </w:tr>
      <w:tr w14:paraId="3D43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trPr>
        <w:tc>
          <w:tcPr>
            <w:tcW w:w="1351" w:type="dxa"/>
            <w:vMerge w:val="restart"/>
            <w:shd w:val="clear" w:color="auto" w:fill="auto"/>
            <w:vAlign w:val="center"/>
          </w:tcPr>
          <w:p w14:paraId="01F79C99">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综合部分</w:t>
            </w:r>
          </w:p>
          <w:p w14:paraId="089A6EDA">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评分标准</w:t>
            </w:r>
          </w:p>
          <w:p w14:paraId="641B66C5">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（20分）</w:t>
            </w:r>
          </w:p>
        </w:tc>
        <w:tc>
          <w:tcPr>
            <w:tcW w:w="3832" w:type="dxa"/>
            <w:shd w:val="clear" w:color="auto" w:fill="auto"/>
            <w:vAlign w:val="center"/>
          </w:tcPr>
          <w:p w14:paraId="45B35E06">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企业业绩（12分）</w:t>
            </w:r>
          </w:p>
        </w:tc>
        <w:tc>
          <w:tcPr>
            <w:tcW w:w="6382" w:type="dxa"/>
            <w:shd w:val="clear" w:color="auto" w:fill="auto"/>
            <w:vAlign w:val="center"/>
          </w:tcPr>
          <w:p w14:paraId="6627348C">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供应商2023年1月1日（以合同签订日期为准）以来承担过类似资产评估业绩，每提供一份业绩得4分，最多得12分；</w:t>
            </w:r>
          </w:p>
          <w:p w14:paraId="70EE024E">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注：响应文件中附加盖双方公章（或合同章）的业绩合同关键页复印件，若业绩合同不能体现业绩类型的，需提供加盖甲方公章（或合同章）的其他证明材料。</w:t>
            </w:r>
          </w:p>
        </w:tc>
        <w:tc>
          <w:tcPr>
            <w:tcW w:w="1062" w:type="dxa"/>
            <w:vMerge w:val="restart"/>
            <w:shd w:val="clear" w:color="auto" w:fill="auto"/>
            <w:vAlign w:val="center"/>
          </w:tcPr>
          <w:p w14:paraId="1D312CF3">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 w:hAnsi="仿宋" w:eastAsia="仿宋" w:cs="仿宋"/>
                <w:b w:val="0"/>
                <w:bCs w:val="0"/>
                <w:color w:val="auto"/>
                <w:kern w:val="0"/>
                <w:sz w:val="24"/>
                <w:szCs w:val="24"/>
                <w:highlight w:val="none"/>
                <w:lang w:val="en-US" w:eastAsia="zh-CN" w:bidi="ar"/>
              </w:rPr>
            </w:pPr>
          </w:p>
        </w:tc>
      </w:tr>
      <w:tr w14:paraId="6900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351" w:type="dxa"/>
            <w:vMerge w:val="continue"/>
            <w:shd w:val="clear" w:color="auto" w:fill="auto"/>
            <w:vAlign w:val="center"/>
          </w:tcPr>
          <w:p w14:paraId="21FD2075">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lang w:val="en-US" w:eastAsia="zh-CN"/>
              </w:rPr>
            </w:pPr>
            <w:bookmarkStart w:id="0" w:name="_GoBack" w:colFirst="1" w:colLast="2"/>
          </w:p>
        </w:tc>
        <w:tc>
          <w:tcPr>
            <w:tcW w:w="3832" w:type="dxa"/>
            <w:shd w:val="clear" w:color="auto" w:fill="auto"/>
            <w:vAlign w:val="center"/>
          </w:tcPr>
          <w:p w14:paraId="63EFF173">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val="0"/>
                <w:bCs w:val="0"/>
                <w:color w:val="auto"/>
                <w:sz w:val="28"/>
                <w:szCs w:val="28"/>
                <w:lang w:val="zh-CN" w:eastAsia="zh-CN"/>
              </w:rPr>
              <w:t>执业记录</w:t>
            </w:r>
            <w:r>
              <w:rPr>
                <w:rFonts w:hint="eastAsia" w:ascii="仿宋_GB2312" w:hAnsi="仿宋_GB2312" w:eastAsia="仿宋_GB2312" w:cs="仿宋_GB2312"/>
                <w:b w:val="0"/>
                <w:bCs w:val="0"/>
                <w:color w:val="auto"/>
                <w:sz w:val="28"/>
                <w:szCs w:val="28"/>
                <w:lang w:val="en-US" w:eastAsia="zh-CN"/>
              </w:rPr>
              <w:t>（8分）</w:t>
            </w:r>
          </w:p>
        </w:tc>
        <w:tc>
          <w:tcPr>
            <w:tcW w:w="6382" w:type="dxa"/>
            <w:shd w:val="clear" w:color="auto" w:fill="auto"/>
            <w:vAlign w:val="center"/>
          </w:tcPr>
          <w:p w14:paraId="36E661C0">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拟派项目负责人自2023年1月1日以来（自合同签订时间为准）作为项目负责人完成过类似</w:t>
            </w:r>
            <w:r>
              <w:rPr>
                <w:rFonts w:hint="eastAsia" w:ascii="仿宋_GB2312" w:hAnsi="仿宋_GB2312" w:eastAsia="仿宋_GB2312" w:cs="仿宋_GB2312"/>
                <w:b w:val="0"/>
                <w:bCs w:val="0"/>
                <w:color w:val="auto"/>
                <w:sz w:val="28"/>
                <w:szCs w:val="28"/>
                <w:highlight w:val="none"/>
                <w:lang w:val="en-US" w:eastAsia="zh-CN"/>
              </w:rPr>
              <w:t>资产评估业绩</w:t>
            </w:r>
            <w:r>
              <w:rPr>
                <w:rFonts w:hint="eastAsia" w:ascii="仿宋_GB2312" w:hAnsi="仿宋_GB2312" w:eastAsia="仿宋_GB2312" w:cs="仿宋_GB2312"/>
                <w:b w:val="0"/>
                <w:bCs w:val="0"/>
                <w:color w:val="auto"/>
                <w:sz w:val="28"/>
                <w:szCs w:val="28"/>
                <w:lang w:val="en-US" w:eastAsia="zh-CN"/>
              </w:rPr>
              <w:t>，每提供1项得4分，最多得8分。</w:t>
            </w:r>
          </w:p>
          <w:p w14:paraId="2D55BECA">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注：响应文件中附加盖双方公章（或合同章）的业绩合同关键页的复印件，业绩合同需明确体现项目负责人姓名，若业绩合同不能体现业绩类型或项目负责人姓名的，需提供报告备案回执或报告签字页等其他证明材料。</w:t>
            </w:r>
          </w:p>
          <w:p w14:paraId="23CF3A1E">
            <w:pPr>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val="0"/>
                <w:bCs w:val="0"/>
                <w:color w:val="auto"/>
                <w:sz w:val="28"/>
                <w:szCs w:val="28"/>
                <w:lang w:val="en-US" w:eastAsia="zh-CN"/>
              </w:rPr>
              <w:t>供应商业绩与项目负责人业绩可重复计算得分。</w:t>
            </w:r>
          </w:p>
        </w:tc>
        <w:tc>
          <w:tcPr>
            <w:tcW w:w="1062" w:type="dxa"/>
            <w:vMerge w:val="continue"/>
            <w:shd w:val="clear" w:color="auto" w:fill="auto"/>
            <w:vAlign w:val="center"/>
          </w:tcPr>
          <w:p w14:paraId="79B05791">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宋体" w:hAnsi="宋体" w:eastAsia="宋体" w:cs="宋体"/>
                <w:color w:val="auto"/>
                <w:sz w:val="24"/>
                <w:szCs w:val="24"/>
                <w:lang w:val="en-US" w:eastAsia="zh-CN"/>
              </w:rPr>
            </w:pPr>
          </w:p>
        </w:tc>
      </w:tr>
      <w:bookmarkEnd w:id="0"/>
      <w:tr w14:paraId="03AC2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1565" w:type="dxa"/>
            <w:gridSpan w:val="3"/>
            <w:shd w:val="clear" w:color="auto" w:fill="auto"/>
            <w:vAlign w:val="center"/>
          </w:tcPr>
          <w:p w14:paraId="6C1937A6">
            <w:pPr>
              <w:keepNext w:val="0"/>
              <w:keepLines w:val="0"/>
              <w:pageBreakBefore w:val="0"/>
              <w:widowControl/>
              <w:kinsoku/>
              <w:wordWrap/>
              <w:overflowPunct/>
              <w:topLinePunct w:val="0"/>
              <w:autoSpaceDE/>
              <w:autoSpaceDN/>
              <w:bidi w:val="0"/>
              <w:adjustRightInd/>
              <w:snapToGrid w:val="0"/>
              <w:spacing w:line="400" w:lineRule="exact"/>
              <w:jc w:val="center"/>
              <w:textAlignment w:val="center"/>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合计</w:t>
            </w:r>
          </w:p>
        </w:tc>
        <w:tc>
          <w:tcPr>
            <w:tcW w:w="1062" w:type="dxa"/>
            <w:shd w:val="clear" w:color="auto" w:fill="auto"/>
            <w:vAlign w:val="center"/>
          </w:tcPr>
          <w:p w14:paraId="29EDB0AF">
            <w:pPr>
              <w:keepNext w:val="0"/>
              <w:keepLines w:val="0"/>
              <w:pageBreakBefore w:val="0"/>
              <w:widowControl/>
              <w:kinsoku/>
              <w:wordWrap/>
              <w:overflowPunct/>
              <w:topLinePunct w:val="0"/>
              <w:autoSpaceDE/>
              <w:autoSpaceDN/>
              <w:bidi w:val="0"/>
              <w:adjustRightInd/>
              <w:snapToGrid w:val="0"/>
              <w:spacing w:line="400" w:lineRule="exact"/>
              <w:jc w:val="left"/>
              <w:textAlignment w:val="center"/>
              <w:rPr>
                <w:rFonts w:hint="eastAsia" w:ascii="宋体" w:hAnsi="宋体" w:eastAsia="宋体" w:cs="宋体"/>
                <w:color w:val="auto"/>
                <w:sz w:val="24"/>
                <w:szCs w:val="24"/>
                <w:lang w:val="en-US" w:eastAsia="zh-CN"/>
              </w:rPr>
            </w:pPr>
          </w:p>
        </w:tc>
      </w:tr>
    </w:tbl>
    <w:p w14:paraId="211714D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center"/>
        <w:textAlignment w:val="auto"/>
        <w:rPr>
          <w:rFonts w:hint="default" w:ascii="仿宋_GB2312" w:hAnsi="仿宋_GB2312" w:eastAsia="仿宋_GB2312" w:cs="仿宋_GB2312"/>
          <w:color w:val="auto"/>
          <w:sz w:val="32"/>
          <w:szCs w:val="32"/>
          <w:highlight w:val="none"/>
          <w:lang w:val="en-US" w:eastAsia="zh-CN"/>
        </w:rPr>
      </w:pPr>
    </w:p>
    <w:p w14:paraId="65119B0C"/>
    <w:sectPr>
      <w:pgSz w:w="16838" w:h="11906" w:orient="landscape"/>
      <w:pgMar w:top="1587" w:right="2098" w:bottom="1474" w:left="1984"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D"/>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FC09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66E82D">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0F66E82D">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F56D6">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2F7C1D"/>
    <w:rsid w:val="1B2D12CB"/>
    <w:rsid w:val="7CDD0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911</Words>
  <Characters>957</Characters>
  <Lines>0</Lines>
  <Paragraphs>0</Paragraphs>
  <TotalTime>111</TotalTime>
  <ScaleCrop>false</ScaleCrop>
  <LinksUpToDate>false</LinksUpToDate>
  <CharactersWithSpaces>987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2026-10-20T03:39:00Z</dcterms:created>
  <dc:creator>63122</dc:creator>
  <cp:lastModifiedBy>YANG。</cp:lastModifiedBy>
  <dcterms:modified xsi:type="dcterms:W3CDTF">2026-10-22T04:14:54Z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eyJoZGlkIjoiM2FkZWUxYzY4NGExN2JmYzEyZjI5YzBkYTk4N2Q5ZmMiLCJ1c2VySWQiOiIzNTY4MDc3MzAifQ==</vt:lpwstr>
  </property>
  <property fmtid="{D5CDD505-2E9C-101B-9397-08002B2CF9AE}" pid="4" name="ICV">
    <vt:lpwstr>855A57E1EAE4410886334331CDECC852_12</vt:lpwstr>
  </property>
</Properties>
</file>