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4DAD1E">
      <w:pPr>
        <w:spacing w:line="560" w:lineRule="exact"/>
        <w:jc w:val="both"/>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附件2</w:t>
      </w:r>
    </w:p>
    <w:p w14:paraId="552AD718">
      <w:pPr>
        <w:spacing w:line="560" w:lineRule="exact"/>
        <w:jc w:val="center"/>
        <w:outlineLvl w:val="0"/>
        <w:rPr>
          <w:rFonts w:hint="eastAsia" w:ascii="方正小标宋简体" w:hAnsi="方正小标宋简体" w:eastAsia="方正小标宋简体" w:cs="方正小标宋简体"/>
          <w:b w:val="0"/>
          <w:bCs w:val="0"/>
          <w:color w:val="auto"/>
          <w:sz w:val="40"/>
          <w:szCs w:val="40"/>
          <w:highlight w:val="none"/>
          <w:lang w:val="en-US" w:eastAsia="zh-CN"/>
        </w:rPr>
      </w:pPr>
      <w:r>
        <w:rPr>
          <w:rFonts w:hint="eastAsia" w:ascii="方正小标宋简体" w:hAnsi="方正小标宋简体" w:eastAsia="方正小标宋简体" w:cs="方正小标宋简体"/>
          <w:b w:val="0"/>
          <w:bCs w:val="0"/>
          <w:color w:val="auto"/>
          <w:sz w:val="40"/>
          <w:szCs w:val="40"/>
          <w:highlight w:val="none"/>
          <w:lang w:val="en-US" w:eastAsia="zh-CN"/>
        </w:rPr>
        <w:t>评分细则</w:t>
      </w:r>
    </w:p>
    <w:tbl>
      <w:tblPr>
        <w:tblStyle w:val="12"/>
        <w:tblpPr w:leftFromText="180" w:rightFromText="180" w:vertAnchor="text" w:horzAnchor="page" w:tblpX="2289" w:tblpY="464"/>
        <w:tblOverlap w:val="never"/>
        <w:tblW w:w="126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1"/>
        <w:gridCol w:w="3315"/>
        <w:gridCol w:w="6899"/>
        <w:gridCol w:w="1062"/>
      </w:tblGrid>
      <w:tr w14:paraId="4E27E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1351" w:type="dxa"/>
            <w:shd w:val="clear" w:color="auto" w:fill="D9D9D9"/>
            <w:noWrap/>
            <w:vAlign w:val="center"/>
          </w:tcPr>
          <w:p w14:paraId="51AC10F4">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kern w:val="0"/>
                <w:sz w:val="24"/>
                <w:szCs w:val="24"/>
                <w:highlight w:val="none"/>
                <w:lang w:val="en-US" w:eastAsia="zh-CN" w:bidi="ar"/>
              </w:rPr>
              <w:t>评分</w:t>
            </w:r>
            <w:r>
              <w:rPr>
                <w:rFonts w:hint="eastAsia" w:ascii="仿宋_GB2312" w:hAnsi="仿宋_GB2312" w:eastAsia="仿宋_GB2312" w:cs="仿宋_GB2312"/>
                <w:b/>
                <w:bCs/>
                <w:color w:val="auto"/>
                <w:kern w:val="0"/>
                <w:sz w:val="24"/>
                <w:szCs w:val="24"/>
                <w:highlight w:val="none"/>
                <w:lang w:bidi="ar"/>
              </w:rPr>
              <w:t>模块</w:t>
            </w:r>
          </w:p>
        </w:tc>
        <w:tc>
          <w:tcPr>
            <w:tcW w:w="3315" w:type="dxa"/>
            <w:shd w:val="clear" w:color="auto" w:fill="D9D9D9"/>
            <w:noWrap/>
            <w:vAlign w:val="center"/>
          </w:tcPr>
          <w:p w14:paraId="7AA488C0">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kern w:val="0"/>
                <w:sz w:val="24"/>
                <w:szCs w:val="24"/>
                <w:highlight w:val="none"/>
                <w:lang w:val="en-US" w:eastAsia="zh-CN" w:bidi="ar"/>
              </w:rPr>
              <w:t>评审分项</w:t>
            </w:r>
          </w:p>
        </w:tc>
        <w:tc>
          <w:tcPr>
            <w:tcW w:w="6899" w:type="dxa"/>
            <w:shd w:val="clear" w:color="auto" w:fill="D9D9D9"/>
            <w:noWrap/>
            <w:vAlign w:val="center"/>
          </w:tcPr>
          <w:p w14:paraId="5C1958D0">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kern w:val="0"/>
                <w:sz w:val="24"/>
                <w:szCs w:val="24"/>
                <w:highlight w:val="none"/>
                <w:lang w:val="en-US" w:eastAsia="zh-CN" w:bidi="ar"/>
              </w:rPr>
            </w:pPr>
            <w:r>
              <w:rPr>
                <w:rFonts w:hint="eastAsia" w:ascii="仿宋_GB2312" w:hAnsi="仿宋_GB2312" w:eastAsia="仿宋_GB2312" w:cs="仿宋_GB2312"/>
                <w:b/>
                <w:bCs/>
                <w:color w:val="auto"/>
                <w:kern w:val="0"/>
                <w:sz w:val="24"/>
                <w:szCs w:val="24"/>
                <w:highlight w:val="none"/>
                <w:lang w:val="en-US" w:eastAsia="zh-CN" w:bidi="ar"/>
              </w:rPr>
              <w:t>详细评分细则</w:t>
            </w:r>
          </w:p>
        </w:tc>
        <w:tc>
          <w:tcPr>
            <w:tcW w:w="1062" w:type="dxa"/>
            <w:shd w:val="clear" w:color="auto" w:fill="D9D9D9"/>
            <w:noWrap/>
            <w:vAlign w:val="center"/>
          </w:tcPr>
          <w:p w14:paraId="0228B469">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kern w:val="0"/>
                <w:sz w:val="24"/>
                <w:szCs w:val="24"/>
                <w:highlight w:val="none"/>
                <w:lang w:val="en-US" w:eastAsia="zh-CN" w:bidi="ar"/>
              </w:rPr>
            </w:pPr>
            <w:r>
              <w:rPr>
                <w:rFonts w:hint="eastAsia" w:ascii="仿宋_GB2312" w:hAnsi="仿宋_GB2312" w:eastAsia="仿宋_GB2312" w:cs="仿宋_GB2312"/>
                <w:b/>
                <w:bCs/>
                <w:color w:val="auto"/>
                <w:kern w:val="0"/>
                <w:sz w:val="24"/>
                <w:szCs w:val="24"/>
                <w:highlight w:val="none"/>
                <w:lang w:val="en-US" w:eastAsia="zh-CN" w:bidi="ar"/>
              </w:rPr>
              <w:t>得分</w:t>
            </w:r>
          </w:p>
        </w:tc>
      </w:tr>
      <w:tr w14:paraId="6AA31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3" w:hRule="atLeast"/>
        </w:trPr>
        <w:tc>
          <w:tcPr>
            <w:tcW w:w="1351" w:type="dxa"/>
            <w:vMerge w:val="restart"/>
            <w:shd w:val="clear" w:color="auto" w:fill="auto"/>
            <w:vAlign w:val="center"/>
          </w:tcPr>
          <w:p w14:paraId="38BAE3DE">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报价部分</w:t>
            </w:r>
          </w:p>
          <w:p w14:paraId="2F491EB4">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（响应报价评分标准）</w:t>
            </w:r>
          </w:p>
          <w:p w14:paraId="5B60D76C">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w:t>
            </w:r>
            <w:r>
              <w:rPr>
                <w:rFonts w:hint="eastAsia" w:ascii="仿宋_GB2312" w:hAnsi="仿宋_GB2312" w:eastAsia="仿宋_GB2312" w:cs="仿宋_GB2312"/>
                <w:color w:val="auto"/>
                <w:sz w:val="24"/>
                <w:highlight w:val="none"/>
                <w:lang w:val="en-US" w:eastAsia="zh-CN"/>
              </w:rPr>
              <w:t>15</w:t>
            </w:r>
            <w:r>
              <w:rPr>
                <w:rFonts w:hint="eastAsia" w:ascii="仿宋_GB2312" w:hAnsi="仿宋_GB2312" w:eastAsia="仿宋_GB2312" w:cs="仿宋_GB2312"/>
                <w:b/>
                <w:bCs/>
                <w:color w:val="auto"/>
                <w:sz w:val="24"/>
                <w:szCs w:val="24"/>
                <w:highlight w:val="none"/>
                <w:lang w:val="en-US" w:eastAsia="zh-CN"/>
              </w:rPr>
              <w:t>分）</w:t>
            </w:r>
          </w:p>
        </w:tc>
        <w:tc>
          <w:tcPr>
            <w:tcW w:w="3315" w:type="dxa"/>
            <w:shd w:val="clear" w:color="auto" w:fill="auto"/>
            <w:vAlign w:val="center"/>
          </w:tcPr>
          <w:p w14:paraId="670F4924">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评审基准价</w:t>
            </w:r>
            <w:r>
              <w:rPr>
                <w:rFonts w:hint="eastAsia" w:ascii="仿宋_GB2312" w:hAnsi="仿宋_GB2312" w:eastAsia="仿宋_GB2312" w:cs="仿宋_GB2312"/>
                <w:color w:val="auto"/>
                <w:sz w:val="24"/>
                <w:szCs w:val="24"/>
                <w:highlight w:val="none"/>
              </w:rPr>
              <w:t>计算方法</w:t>
            </w:r>
          </w:p>
        </w:tc>
        <w:tc>
          <w:tcPr>
            <w:tcW w:w="6899" w:type="dxa"/>
            <w:shd w:val="clear" w:color="auto" w:fill="auto"/>
            <w:vAlign w:val="center"/>
          </w:tcPr>
          <w:p w14:paraId="686009DC">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采用一次平均的方法计算评审基准价，评审基准价为所有有效供应商响应报价（不含增值税）的算术平均值。</w:t>
            </w:r>
          </w:p>
        </w:tc>
        <w:tc>
          <w:tcPr>
            <w:tcW w:w="1062" w:type="dxa"/>
            <w:shd w:val="clear" w:color="auto" w:fill="auto"/>
            <w:vAlign w:val="center"/>
          </w:tcPr>
          <w:p w14:paraId="38D73BEE">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kern w:val="0"/>
                <w:sz w:val="24"/>
                <w:szCs w:val="24"/>
                <w:highlight w:val="none"/>
                <w:lang w:val="en-US" w:eastAsia="zh-CN" w:bidi="ar"/>
              </w:rPr>
            </w:pPr>
          </w:p>
        </w:tc>
      </w:tr>
      <w:tr w14:paraId="13D0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5" w:hRule="atLeast"/>
        </w:trPr>
        <w:tc>
          <w:tcPr>
            <w:tcW w:w="1351" w:type="dxa"/>
            <w:vMerge w:val="continue"/>
            <w:shd w:val="clear" w:color="auto" w:fill="auto"/>
            <w:vAlign w:val="center"/>
          </w:tcPr>
          <w:p w14:paraId="213F840C">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highlight w:val="none"/>
                <w:lang w:val="en-US" w:eastAsia="zh-CN"/>
              </w:rPr>
            </w:pPr>
          </w:p>
        </w:tc>
        <w:tc>
          <w:tcPr>
            <w:tcW w:w="3315" w:type="dxa"/>
            <w:shd w:val="clear" w:color="auto" w:fill="auto"/>
            <w:vAlign w:val="center"/>
          </w:tcPr>
          <w:p w14:paraId="3935FF0B">
            <w:pPr>
              <w:widowControl/>
              <w:spacing w:line="400" w:lineRule="exact"/>
              <w:jc w:val="center"/>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响应报价得分标准</w:t>
            </w:r>
          </w:p>
          <w:p w14:paraId="05A831D5">
            <w:pPr>
              <w:widowControl/>
              <w:spacing w:line="400" w:lineRule="exact"/>
              <w:jc w:val="center"/>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highlight w:val="none"/>
                <w:lang w:val="en-US" w:eastAsia="zh-CN"/>
              </w:rPr>
              <w:t>15</w:t>
            </w:r>
            <w:r>
              <w:rPr>
                <w:rFonts w:hint="eastAsia" w:ascii="仿宋_GB2312" w:hAnsi="仿宋_GB2312" w:eastAsia="仿宋_GB2312" w:cs="仿宋_GB2312"/>
                <w:color w:val="auto"/>
                <w:sz w:val="24"/>
                <w:szCs w:val="24"/>
                <w:highlight w:val="none"/>
              </w:rPr>
              <w:t>分）</w:t>
            </w:r>
          </w:p>
        </w:tc>
        <w:tc>
          <w:tcPr>
            <w:tcW w:w="6899" w:type="dxa"/>
            <w:shd w:val="clear" w:color="auto" w:fill="auto"/>
            <w:vAlign w:val="center"/>
          </w:tcPr>
          <w:p w14:paraId="33A00B51">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响应报价得分=（1-|评审基准价-审计费用报价|/评审基准价）×15</w:t>
            </w:r>
          </w:p>
          <w:p w14:paraId="5BED98B5">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p>
        </w:tc>
        <w:tc>
          <w:tcPr>
            <w:tcW w:w="1062" w:type="dxa"/>
            <w:shd w:val="clear" w:color="auto" w:fill="auto"/>
            <w:vAlign w:val="center"/>
          </w:tcPr>
          <w:p w14:paraId="628D9888">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kern w:val="0"/>
                <w:sz w:val="24"/>
                <w:szCs w:val="24"/>
                <w:highlight w:val="none"/>
                <w:lang w:val="en-US" w:eastAsia="zh-CN" w:bidi="ar"/>
              </w:rPr>
            </w:pPr>
          </w:p>
        </w:tc>
      </w:tr>
    </w:tbl>
    <w:p w14:paraId="45C1C45B">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highlight w:val="none"/>
          <w:lang w:val="en-US" w:eastAsia="zh-CN"/>
        </w:rPr>
        <w:sectPr>
          <w:headerReference r:id="rId5" w:type="default"/>
          <w:footerReference r:id="rId6" w:type="default"/>
          <w:pgSz w:w="16838" w:h="11906" w:orient="landscape"/>
          <w:pgMar w:top="1588" w:right="2098" w:bottom="1474" w:left="1984" w:header="1361" w:footer="1417" w:gutter="0"/>
          <w:pgBorders>
            <w:top w:val="none" w:sz="0" w:space="0"/>
            <w:left w:val="none" w:sz="0" w:space="0"/>
            <w:bottom w:val="none" w:sz="0" w:space="0"/>
            <w:right w:val="none" w:sz="0" w:space="0"/>
          </w:pgBorders>
          <w:pgNumType w:fmt="decimal"/>
          <w:cols w:space="425" w:num="1"/>
          <w:docGrid w:type="lines" w:linePitch="312" w:charSpace="0"/>
        </w:sectPr>
      </w:pPr>
    </w:p>
    <w:tbl>
      <w:tblPr>
        <w:tblStyle w:val="12"/>
        <w:tblpPr w:leftFromText="180" w:rightFromText="180" w:vertAnchor="text" w:horzAnchor="page" w:tblpX="2289" w:tblpY="464"/>
        <w:tblOverlap w:val="never"/>
        <w:tblW w:w="126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1"/>
        <w:gridCol w:w="3382"/>
        <w:gridCol w:w="6832"/>
        <w:gridCol w:w="1062"/>
      </w:tblGrid>
      <w:tr w14:paraId="0B5A4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1" w:type="dxa"/>
            <w:vMerge w:val="restart"/>
            <w:shd w:val="clear" w:color="auto" w:fill="auto"/>
            <w:vAlign w:val="center"/>
          </w:tcPr>
          <w:p w14:paraId="0A3BDB89">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default"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技术部分评分标准</w:t>
            </w:r>
          </w:p>
          <w:p w14:paraId="4424838A">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（40分）</w:t>
            </w:r>
          </w:p>
          <w:p w14:paraId="5EDBE5A6">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注：以上各项如有缺项，则所缺项得0分。</w:t>
            </w:r>
          </w:p>
        </w:tc>
        <w:tc>
          <w:tcPr>
            <w:tcW w:w="3382" w:type="dxa"/>
            <w:shd w:val="clear" w:color="auto" w:fill="auto"/>
            <w:vAlign w:val="center"/>
          </w:tcPr>
          <w:p w14:paraId="11755DDE">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1.工作组织实施方案</w:t>
            </w:r>
          </w:p>
          <w:p w14:paraId="19BDA35A">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（6分）</w:t>
            </w:r>
          </w:p>
        </w:tc>
        <w:tc>
          <w:tcPr>
            <w:tcW w:w="6832" w:type="dxa"/>
            <w:shd w:val="clear" w:color="auto" w:fill="auto"/>
            <w:vAlign w:val="center"/>
          </w:tcPr>
          <w:p w14:paraId="0E02CDE6">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评审小组对本项目工作组织实施方案的全面性及合理性（包括重点与难点分析）情况进行评分。</w:t>
            </w:r>
          </w:p>
          <w:p w14:paraId="5428D8A2">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服务方案具有针对性，能够根据项目需求情况提出详细、具体、明确的服务流程、服务方式方法、服务成果标准等。</w:t>
            </w:r>
          </w:p>
          <w:p w14:paraId="2F63308B">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优秀得 4-6 分；良好 2-4 分，一般 0-2 分。</w:t>
            </w:r>
          </w:p>
        </w:tc>
        <w:tc>
          <w:tcPr>
            <w:tcW w:w="1062" w:type="dxa"/>
            <w:shd w:val="clear" w:color="auto" w:fill="auto"/>
            <w:vAlign w:val="center"/>
          </w:tcPr>
          <w:p w14:paraId="1031E49F">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kern w:val="0"/>
                <w:sz w:val="24"/>
                <w:szCs w:val="24"/>
                <w:highlight w:val="none"/>
                <w:lang w:val="en-US" w:eastAsia="zh-CN" w:bidi="ar"/>
              </w:rPr>
            </w:pPr>
          </w:p>
        </w:tc>
      </w:tr>
      <w:tr w14:paraId="71E61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1" w:type="dxa"/>
            <w:vMerge w:val="continue"/>
            <w:shd w:val="clear" w:color="auto" w:fill="auto"/>
            <w:vAlign w:val="center"/>
          </w:tcPr>
          <w:p w14:paraId="54B7E93D">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highlight w:val="none"/>
                <w:lang w:val="en-US" w:eastAsia="zh-CN"/>
              </w:rPr>
            </w:pPr>
          </w:p>
        </w:tc>
        <w:tc>
          <w:tcPr>
            <w:tcW w:w="3382" w:type="dxa"/>
            <w:shd w:val="clear" w:color="auto" w:fill="auto"/>
            <w:vAlign w:val="center"/>
          </w:tcPr>
          <w:p w14:paraId="1A52A802">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2.质量保证措施</w:t>
            </w:r>
          </w:p>
          <w:p w14:paraId="05CC6A8D">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（6分）</w:t>
            </w:r>
          </w:p>
        </w:tc>
        <w:tc>
          <w:tcPr>
            <w:tcW w:w="6832" w:type="dxa"/>
            <w:shd w:val="clear" w:color="auto" w:fill="auto"/>
            <w:vAlign w:val="center"/>
          </w:tcPr>
          <w:p w14:paraId="5863F722">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质量目标明确，并有实现质量保障措施，具有各阶段的工作内容、工作方法、工作重点、难点分析及相关的处理方法。</w:t>
            </w:r>
          </w:p>
          <w:p w14:paraId="2AE8A931">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制定全面的服务质量保障措施，对服务过程中的关键节点有具体质量控制措施和处理方法。</w:t>
            </w:r>
          </w:p>
          <w:p w14:paraId="5580C72D">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优秀得 4-6 分；良好 2-4 分，一般 0-2 分。</w:t>
            </w:r>
          </w:p>
        </w:tc>
        <w:tc>
          <w:tcPr>
            <w:tcW w:w="1062" w:type="dxa"/>
            <w:shd w:val="clear" w:color="auto" w:fill="auto"/>
            <w:vAlign w:val="center"/>
          </w:tcPr>
          <w:p w14:paraId="5EDF85B7">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kern w:val="0"/>
                <w:sz w:val="24"/>
                <w:szCs w:val="24"/>
                <w:highlight w:val="none"/>
                <w:lang w:val="en-US" w:eastAsia="zh-CN" w:bidi="ar"/>
              </w:rPr>
            </w:pPr>
          </w:p>
        </w:tc>
      </w:tr>
      <w:tr w14:paraId="31E02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1" w:type="dxa"/>
            <w:vMerge w:val="continue"/>
            <w:shd w:val="clear" w:color="auto" w:fill="auto"/>
            <w:vAlign w:val="center"/>
          </w:tcPr>
          <w:p w14:paraId="13919541">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highlight w:val="none"/>
                <w:lang w:val="en-US" w:eastAsia="zh-CN"/>
              </w:rPr>
            </w:pPr>
          </w:p>
        </w:tc>
        <w:tc>
          <w:tcPr>
            <w:tcW w:w="3382" w:type="dxa"/>
            <w:shd w:val="clear" w:color="auto" w:fill="auto"/>
            <w:vAlign w:val="center"/>
          </w:tcPr>
          <w:p w14:paraId="40D5ACF1">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3.人员机构设置</w:t>
            </w:r>
          </w:p>
          <w:p w14:paraId="314B61ED">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（6分）</w:t>
            </w:r>
          </w:p>
        </w:tc>
        <w:tc>
          <w:tcPr>
            <w:tcW w:w="6832" w:type="dxa"/>
            <w:shd w:val="clear" w:color="auto" w:fill="auto"/>
            <w:vAlign w:val="center"/>
          </w:tcPr>
          <w:p w14:paraId="7FE1DEEB">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项目实施过程中，供应商机构设置、分工及各个环节均设置有相应的机构和健全的质量控制及管理制度等方面。机构设置合理，拟投入人员配备齐全、技术力量雄厚、各项管理制度健全、可行。</w:t>
            </w:r>
          </w:p>
          <w:p w14:paraId="00B780DF">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优秀得 4-6 分；良好 2-4 分，一般 0-2 分。</w:t>
            </w:r>
          </w:p>
        </w:tc>
        <w:tc>
          <w:tcPr>
            <w:tcW w:w="1062" w:type="dxa"/>
            <w:shd w:val="clear" w:color="auto" w:fill="auto"/>
            <w:vAlign w:val="center"/>
          </w:tcPr>
          <w:p w14:paraId="06B4979C">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kern w:val="0"/>
                <w:sz w:val="24"/>
                <w:szCs w:val="24"/>
                <w:highlight w:val="none"/>
                <w:lang w:val="en-US" w:eastAsia="zh-CN" w:bidi="ar"/>
              </w:rPr>
            </w:pPr>
          </w:p>
        </w:tc>
      </w:tr>
      <w:tr w14:paraId="180FC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1" w:type="dxa"/>
            <w:vMerge w:val="continue"/>
            <w:shd w:val="clear" w:color="auto" w:fill="auto"/>
            <w:vAlign w:val="center"/>
          </w:tcPr>
          <w:p w14:paraId="7E86F50B">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highlight w:val="none"/>
                <w:lang w:val="en-US" w:eastAsia="zh-CN"/>
              </w:rPr>
            </w:pPr>
          </w:p>
        </w:tc>
        <w:tc>
          <w:tcPr>
            <w:tcW w:w="3382" w:type="dxa"/>
            <w:shd w:val="clear" w:color="auto" w:fill="auto"/>
            <w:vAlign w:val="center"/>
          </w:tcPr>
          <w:p w14:paraId="2BFEBD2B">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4.风险管控措施</w:t>
            </w:r>
          </w:p>
          <w:p w14:paraId="65F398A4">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（6分）</w:t>
            </w:r>
          </w:p>
        </w:tc>
        <w:tc>
          <w:tcPr>
            <w:tcW w:w="6832" w:type="dxa"/>
            <w:shd w:val="clear" w:color="auto" w:fill="auto"/>
            <w:vAlign w:val="center"/>
          </w:tcPr>
          <w:p w14:paraId="317C597C">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工作过程中风险防控管理措施齐全，廉洁自律和职业操守制度健全，管控措施准确，各阶段风险控制及应急措施得力。</w:t>
            </w:r>
          </w:p>
          <w:p w14:paraId="318D4671">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优秀得 4-6 分；良好 2-4 分，一般 0-2 分。</w:t>
            </w:r>
          </w:p>
        </w:tc>
        <w:tc>
          <w:tcPr>
            <w:tcW w:w="1062" w:type="dxa"/>
            <w:shd w:val="clear" w:color="auto" w:fill="auto"/>
            <w:vAlign w:val="center"/>
          </w:tcPr>
          <w:p w14:paraId="3EC5459B">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kern w:val="0"/>
                <w:sz w:val="24"/>
                <w:szCs w:val="24"/>
                <w:highlight w:val="none"/>
                <w:lang w:val="en-US" w:eastAsia="zh-CN" w:bidi="ar"/>
              </w:rPr>
            </w:pPr>
          </w:p>
        </w:tc>
      </w:tr>
      <w:tr w14:paraId="7BDCF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1" w:type="dxa"/>
            <w:vMerge w:val="continue"/>
            <w:shd w:val="clear" w:color="auto" w:fill="auto"/>
            <w:vAlign w:val="center"/>
          </w:tcPr>
          <w:p w14:paraId="10904178">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highlight w:val="none"/>
                <w:lang w:val="en-US" w:eastAsia="zh-CN"/>
              </w:rPr>
            </w:pPr>
          </w:p>
        </w:tc>
        <w:tc>
          <w:tcPr>
            <w:tcW w:w="3382" w:type="dxa"/>
            <w:shd w:val="clear" w:color="auto" w:fill="auto"/>
            <w:vAlign w:val="center"/>
          </w:tcPr>
          <w:p w14:paraId="259A6A26">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5.保密措施</w:t>
            </w:r>
          </w:p>
          <w:p w14:paraId="2884DF1B">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（6分）</w:t>
            </w:r>
          </w:p>
        </w:tc>
        <w:tc>
          <w:tcPr>
            <w:tcW w:w="6832" w:type="dxa"/>
            <w:shd w:val="clear" w:color="auto" w:fill="auto"/>
            <w:vAlign w:val="center"/>
          </w:tcPr>
          <w:p w14:paraId="51131975">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保密措施内容完善、健全、可行性强。</w:t>
            </w:r>
          </w:p>
          <w:p w14:paraId="54B1B262">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优秀得 4-6 分；良好 2-4 分，一般 0-2 分。</w:t>
            </w:r>
          </w:p>
        </w:tc>
        <w:tc>
          <w:tcPr>
            <w:tcW w:w="1062" w:type="dxa"/>
            <w:shd w:val="clear" w:color="auto" w:fill="auto"/>
            <w:vAlign w:val="center"/>
          </w:tcPr>
          <w:p w14:paraId="6210D491">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kern w:val="0"/>
                <w:sz w:val="24"/>
                <w:szCs w:val="24"/>
                <w:highlight w:val="none"/>
                <w:lang w:val="en-US" w:eastAsia="zh-CN" w:bidi="ar"/>
              </w:rPr>
            </w:pPr>
          </w:p>
        </w:tc>
      </w:tr>
      <w:tr w14:paraId="0E582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1" w:type="dxa"/>
            <w:vMerge w:val="continue"/>
            <w:shd w:val="clear" w:color="auto" w:fill="auto"/>
            <w:vAlign w:val="center"/>
          </w:tcPr>
          <w:p w14:paraId="0430E1F2">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highlight w:val="none"/>
                <w:lang w:val="en-US" w:eastAsia="zh-CN"/>
              </w:rPr>
            </w:pPr>
          </w:p>
        </w:tc>
        <w:tc>
          <w:tcPr>
            <w:tcW w:w="3382" w:type="dxa"/>
            <w:shd w:val="clear" w:color="auto" w:fill="auto"/>
            <w:vAlign w:val="center"/>
          </w:tcPr>
          <w:p w14:paraId="4CFA6DB7">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6.档案管理措施</w:t>
            </w:r>
          </w:p>
          <w:p w14:paraId="1F53AB8B">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（6分）</w:t>
            </w:r>
          </w:p>
        </w:tc>
        <w:tc>
          <w:tcPr>
            <w:tcW w:w="6832" w:type="dxa"/>
            <w:shd w:val="clear" w:color="auto" w:fill="auto"/>
            <w:vAlign w:val="center"/>
          </w:tcPr>
          <w:p w14:paraId="236B1F02">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档案管理措施和方法全面详细、管理制度切实可行。</w:t>
            </w:r>
          </w:p>
          <w:p w14:paraId="40E967C2">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优秀得 4-6 分；良好 2-4 分，一般 0-2 分。</w:t>
            </w:r>
          </w:p>
        </w:tc>
        <w:tc>
          <w:tcPr>
            <w:tcW w:w="1062" w:type="dxa"/>
            <w:shd w:val="clear" w:color="auto" w:fill="auto"/>
            <w:vAlign w:val="center"/>
          </w:tcPr>
          <w:p w14:paraId="7469D825">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kern w:val="0"/>
                <w:sz w:val="24"/>
                <w:szCs w:val="24"/>
                <w:highlight w:val="none"/>
                <w:lang w:val="en-US" w:eastAsia="zh-CN" w:bidi="ar"/>
              </w:rPr>
            </w:pPr>
          </w:p>
        </w:tc>
      </w:tr>
      <w:tr w14:paraId="3DB8F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1" w:type="dxa"/>
            <w:vMerge w:val="continue"/>
            <w:shd w:val="clear" w:color="auto" w:fill="auto"/>
            <w:vAlign w:val="center"/>
          </w:tcPr>
          <w:p w14:paraId="0504576B">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highlight w:val="none"/>
                <w:lang w:val="en-US" w:eastAsia="zh-CN"/>
              </w:rPr>
            </w:pPr>
          </w:p>
        </w:tc>
        <w:tc>
          <w:tcPr>
            <w:tcW w:w="3382" w:type="dxa"/>
            <w:shd w:val="clear" w:color="auto" w:fill="auto"/>
            <w:vAlign w:val="center"/>
          </w:tcPr>
          <w:p w14:paraId="6FDC9D53">
            <w:pPr>
              <w:keepNext w:val="0"/>
              <w:keepLines w:val="0"/>
              <w:pageBreakBefore w:val="0"/>
              <w:widowControl/>
              <w:numPr>
                <w:ilvl w:val="0"/>
                <w:numId w:val="0"/>
              </w:numPr>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kern w:val="2"/>
                <w:sz w:val="24"/>
                <w:szCs w:val="24"/>
                <w:highlight w:val="none"/>
                <w:lang w:val="en-US" w:eastAsia="zh-CN" w:bidi="ar-SA"/>
              </w:rPr>
              <w:t>7.</w:t>
            </w:r>
            <w:r>
              <w:rPr>
                <w:rFonts w:hint="eastAsia" w:ascii="仿宋_GB2312" w:hAnsi="仿宋_GB2312" w:eastAsia="仿宋_GB2312" w:cs="仿宋_GB2312"/>
                <w:b w:val="0"/>
                <w:bCs w:val="0"/>
                <w:color w:val="auto"/>
                <w:sz w:val="24"/>
                <w:szCs w:val="24"/>
                <w:highlight w:val="none"/>
                <w:lang w:val="en-US" w:eastAsia="zh-CN"/>
              </w:rPr>
              <w:t>跟踪服务安排及保证措施</w:t>
            </w:r>
          </w:p>
          <w:p w14:paraId="37B13A30">
            <w:pPr>
              <w:keepNext w:val="0"/>
              <w:keepLines w:val="0"/>
              <w:pageBreakBefore w:val="0"/>
              <w:widowControl/>
              <w:numPr>
                <w:ilvl w:val="-1"/>
                <w:numId w:val="0"/>
              </w:numPr>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（4分）</w:t>
            </w:r>
          </w:p>
        </w:tc>
        <w:tc>
          <w:tcPr>
            <w:tcW w:w="6832" w:type="dxa"/>
            <w:shd w:val="clear" w:color="auto" w:fill="auto"/>
            <w:vAlign w:val="center"/>
          </w:tcPr>
          <w:p w14:paraId="5C1DF33B">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跟踪服务内容及保证措施描述全面合理、按时完成工作，解决问题响应时效快，编制内容针对性强，具有完善的服务体系且可行性强。</w:t>
            </w:r>
          </w:p>
          <w:p w14:paraId="2A7A2F88">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优秀得 2-4 分；良好 1-2 分，一般 0-1 分。</w:t>
            </w:r>
          </w:p>
        </w:tc>
        <w:tc>
          <w:tcPr>
            <w:tcW w:w="1062" w:type="dxa"/>
            <w:shd w:val="clear" w:color="auto" w:fill="auto"/>
            <w:vAlign w:val="center"/>
          </w:tcPr>
          <w:p w14:paraId="4D92C954">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kern w:val="0"/>
                <w:sz w:val="24"/>
                <w:szCs w:val="24"/>
                <w:highlight w:val="none"/>
                <w:lang w:val="en-US" w:eastAsia="zh-CN" w:bidi="ar"/>
              </w:rPr>
            </w:pPr>
          </w:p>
        </w:tc>
      </w:tr>
      <w:tr w14:paraId="69D0E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trPr>
        <w:tc>
          <w:tcPr>
            <w:tcW w:w="1351" w:type="dxa"/>
            <w:vMerge w:val="restart"/>
            <w:shd w:val="clear" w:color="auto" w:fill="auto"/>
            <w:vAlign w:val="center"/>
          </w:tcPr>
          <w:p w14:paraId="68A65C4E">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综合部分</w:t>
            </w:r>
          </w:p>
          <w:p w14:paraId="2DA2E4E1">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评分标准</w:t>
            </w:r>
          </w:p>
          <w:p w14:paraId="089F12ED">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（45分）</w:t>
            </w:r>
          </w:p>
        </w:tc>
        <w:tc>
          <w:tcPr>
            <w:tcW w:w="3382" w:type="dxa"/>
            <w:shd w:val="clear" w:color="auto" w:fill="auto"/>
            <w:vAlign w:val="center"/>
          </w:tcPr>
          <w:p w14:paraId="1461EC32">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企业业绩（12分）</w:t>
            </w:r>
          </w:p>
        </w:tc>
        <w:tc>
          <w:tcPr>
            <w:tcW w:w="6832" w:type="dxa"/>
            <w:shd w:val="clear" w:color="auto" w:fill="auto"/>
            <w:vAlign w:val="center"/>
          </w:tcPr>
          <w:p w14:paraId="7B0B9B20">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供应商2023年1月1日（以合同签订日期为准）以来承担过类似财务审计业绩，每提供一份业绩得4分，最多得12分；</w:t>
            </w:r>
          </w:p>
          <w:p w14:paraId="4AA8C44A">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注：响应文件中附加盖双方公章（或合同章）的业绩合同关键页复印件，若业绩合同不能体现业绩类型的，需提供加盖甲方公章（或合同章）的其他证明材料。</w:t>
            </w:r>
          </w:p>
        </w:tc>
        <w:tc>
          <w:tcPr>
            <w:tcW w:w="1062" w:type="dxa"/>
            <w:vMerge w:val="restart"/>
            <w:shd w:val="clear" w:color="auto" w:fill="auto"/>
            <w:vAlign w:val="center"/>
          </w:tcPr>
          <w:p w14:paraId="79251F22">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kern w:val="0"/>
                <w:sz w:val="24"/>
                <w:szCs w:val="24"/>
                <w:highlight w:val="none"/>
                <w:lang w:val="en-US" w:eastAsia="zh-CN" w:bidi="ar"/>
              </w:rPr>
            </w:pPr>
          </w:p>
        </w:tc>
      </w:tr>
      <w:tr w14:paraId="545F8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1351" w:type="dxa"/>
            <w:vMerge w:val="continue"/>
            <w:shd w:val="clear" w:color="auto" w:fill="auto"/>
            <w:vAlign w:val="center"/>
          </w:tcPr>
          <w:p w14:paraId="02E87EFB">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highlight w:val="none"/>
                <w:lang w:val="en-US" w:eastAsia="zh-CN"/>
              </w:rPr>
            </w:pPr>
          </w:p>
        </w:tc>
        <w:tc>
          <w:tcPr>
            <w:tcW w:w="3382" w:type="dxa"/>
            <w:shd w:val="clear" w:color="auto" w:fill="auto"/>
            <w:vAlign w:val="center"/>
          </w:tcPr>
          <w:p w14:paraId="6C8A4D5D">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sz w:val="24"/>
                <w:szCs w:val="24"/>
                <w:highlight w:val="none"/>
                <w:lang w:val="zh-CN" w:eastAsia="zh-CN"/>
              </w:rPr>
              <w:t>执业记录</w:t>
            </w:r>
            <w:r>
              <w:rPr>
                <w:rFonts w:hint="eastAsia" w:ascii="仿宋_GB2312" w:hAnsi="仿宋_GB2312" w:eastAsia="仿宋_GB2312" w:cs="仿宋_GB2312"/>
                <w:b w:val="0"/>
                <w:bCs w:val="0"/>
                <w:color w:val="auto"/>
                <w:sz w:val="24"/>
                <w:szCs w:val="24"/>
                <w:highlight w:val="none"/>
                <w:lang w:val="en-US" w:eastAsia="zh-CN"/>
              </w:rPr>
              <w:t>（12分）</w:t>
            </w:r>
          </w:p>
        </w:tc>
        <w:tc>
          <w:tcPr>
            <w:tcW w:w="6832" w:type="dxa"/>
            <w:shd w:val="clear" w:color="auto" w:fill="auto"/>
            <w:vAlign w:val="center"/>
          </w:tcPr>
          <w:p w14:paraId="36E661C0">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拟派项目负责人自2023年1月1日以来（以合同签订时间为准）作为项目负责人完成过类似财务审计业绩，每提供1项得4分，最多得12分。</w:t>
            </w:r>
          </w:p>
          <w:p w14:paraId="2D55BECA">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注：响应文件中附加盖双方公章（或合同章）的业绩合同关键页的复印件，业绩合同需明确体现项目负责人姓名，若业绩合同不能体现业绩类型或项目负责人姓名的，需提供加盖甲方公章（或合同章）的其他证明材料。</w:t>
            </w:r>
          </w:p>
          <w:p w14:paraId="673A2C21">
            <w:pPr>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sz w:val="24"/>
                <w:szCs w:val="24"/>
                <w:highlight w:val="none"/>
                <w:lang w:val="en-US" w:eastAsia="zh-CN"/>
              </w:rPr>
              <w:t>供应商业绩与项目负责人业绩可重复计算得分。</w:t>
            </w:r>
          </w:p>
        </w:tc>
        <w:tc>
          <w:tcPr>
            <w:tcW w:w="1062" w:type="dxa"/>
            <w:vMerge w:val="continue"/>
            <w:shd w:val="clear" w:color="auto" w:fill="auto"/>
            <w:vAlign w:val="center"/>
          </w:tcPr>
          <w:p w14:paraId="5B7F965F">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color w:val="auto"/>
                <w:sz w:val="24"/>
                <w:szCs w:val="24"/>
                <w:highlight w:val="none"/>
                <w:lang w:val="en-US" w:eastAsia="zh-CN"/>
              </w:rPr>
            </w:pPr>
          </w:p>
        </w:tc>
      </w:tr>
      <w:tr w14:paraId="18853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6" w:hRule="atLeast"/>
        </w:trPr>
        <w:tc>
          <w:tcPr>
            <w:tcW w:w="1351" w:type="dxa"/>
            <w:vMerge w:val="continue"/>
            <w:shd w:val="clear" w:color="auto" w:fill="auto"/>
            <w:vAlign w:val="center"/>
          </w:tcPr>
          <w:p w14:paraId="1AF1A0C5">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highlight w:val="none"/>
                <w:lang w:val="en-US" w:eastAsia="zh-CN"/>
              </w:rPr>
            </w:pPr>
          </w:p>
        </w:tc>
        <w:tc>
          <w:tcPr>
            <w:tcW w:w="3382" w:type="dxa"/>
            <w:shd w:val="clear" w:color="auto" w:fill="auto"/>
            <w:vAlign w:val="center"/>
          </w:tcPr>
          <w:p w14:paraId="1979392D">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sz w:val="24"/>
                <w:szCs w:val="24"/>
                <w:highlight w:val="none"/>
                <w:lang w:val="en-US" w:eastAsia="zh-CN"/>
              </w:rPr>
              <w:t>项目团队配备（12分）</w:t>
            </w:r>
          </w:p>
        </w:tc>
        <w:tc>
          <w:tcPr>
            <w:tcW w:w="6832" w:type="dxa"/>
            <w:shd w:val="clear" w:color="auto" w:fill="auto"/>
            <w:vAlign w:val="center"/>
          </w:tcPr>
          <w:p w14:paraId="6D58B681">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项目负责人除外，其他项目管理机构人员，配备满足以下要求的得12分，每缺有一人扣1分，扣完为止。</w:t>
            </w:r>
          </w:p>
          <w:tbl>
            <w:tblPr>
              <w:tblStyle w:val="13"/>
              <w:tblW w:w="61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3"/>
              <w:gridCol w:w="1627"/>
              <w:gridCol w:w="1779"/>
              <w:gridCol w:w="796"/>
              <w:gridCol w:w="731"/>
            </w:tblGrid>
            <w:tr w14:paraId="1547F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3" w:type="dxa"/>
                </w:tcPr>
                <w:p w14:paraId="609E6394">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default" w:ascii="仿宋_GB2312" w:hAnsi="仿宋_GB2312" w:eastAsia="仿宋_GB2312" w:cs="仿宋_GB2312"/>
                      <w:b w:val="0"/>
                      <w:bCs w:val="0"/>
                      <w:color w:val="auto"/>
                      <w:sz w:val="24"/>
                      <w:szCs w:val="24"/>
                      <w:highlight w:val="none"/>
                      <w:vertAlign w:val="baseline"/>
                      <w:lang w:val="en-US" w:eastAsia="zh-CN"/>
                    </w:rPr>
                  </w:pPr>
                  <w:r>
                    <w:rPr>
                      <w:rFonts w:hint="eastAsia" w:ascii="仿宋_GB2312" w:hAnsi="仿宋_GB2312" w:eastAsia="仿宋_GB2312" w:cs="仿宋_GB2312"/>
                      <w:b w:val="0"/>
                      <w:bCs w:val="0"/>
                      <w:color w:val="auto"/>
                      <w:sz w:val="24"/>
                      <w:szCs w:val="24"/>
                      <w:highlight w:val="none"/>
                      <w:vertAlign w:val="baseline"/>
                      <w:lang w:val="en-US" w:eastAsia="zh-CN"/>
                    </w:rPr>
                    <w:t>序号</w:t>
                  </w:r>
                </w:p>
              </w:tc>
              <w:tc>
                <w:tcPr>
                  <w:tcW w:w="1627" w:type="dxa"/>
                </w:tcPr>
                <w:p w14:paraId="026DC051">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default" w:ascii="仿宋_GB2312" w:hAnsi="仿宋_GB2312" w:eastAsia="仿宋_GB2312" w:cs="仿宋_GB2312"/>
                      <w:b w:val="0"/>
                      <w:bCs w:val="0"/>
                      <w:color w:val="auto"/>
                      <w:sz w:val="24"/>
                      <w:szCs w:val="24"/>
                      <w:highlight w:val="none"/>
                      <w:vertAlign w:val="baseline"/>
                      <w:lang w:val="en-US" w:eastAsia="zh-CN"/>
                    </w:rPr>
                  </w:pPr>
                  <w:r>
                    <w:rPr>
                      <w:rFonts w:hint="eastAsia" w:ascii="仿宋_GB2312" w:hAnsi="仿宋_GB2312" w:eastAsia="仿宋_GB2312" w:cs="仿宋_GB2312"/>
                      <w:b w:val="0"/>
                      <w:bCs w:val="0"/>
                      <w:color w:val="auto"/>
                      <w:sz w:val="24"/>
                      <w:szCs w:val="24"/>
                      <w:highlight w:val="none"/>
                      <w:vertAlign w:val="baseline"/>
                      <w:lang w:val="en-US" w:eastAsia="zh-CN"/>
                    </w:rPr>
                    <w:t>本项目任职</w:t>
                  </w:r>
                </w:p>
              </w:tc>
              <w:tc>
                <w:tcPr>
                  <w:tcW w:w="1779" w:type="dxa"/>
                </w:tcPr>
                <w:p w14:paraId="47BAE4D1">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default" w:ascii="仿宋_GB2312" w:hAnsi="仿宋_GB2312" w:eastAsia="仿宋_GB2312" w:cs="仿宋_GB2312"/>
                      <w:b w:val="0"/>
                      <w:bCs w:val="0"/>
                      <w:color w:val="auto"/>
                      <w:sz w:val="24"/>
                      <w:szCs w:val="24"/>
                      <w:highlight w:val="none"/>
                      <w:vertAlign w:val="baseline"/>
                      <w:lang w:val="en-US" w:eastAsia="zh-CN"/>
                    </w:rPr>
                  </w:pPr>
                  <w:r>
                    <w:rPr>
                      <w:rFonts w:hint="eastAsia" w:ascii="仿宋_GB2312" w:hAnsi="仿宋_GB2312" w:eastAsia="仿宋_GB2312" w:cs="仿宋_GB2312"/>
                      <w:b w:val="0"/>
                      <w:bCs w:val="0"/>
                      <w:color w:val="auto"/>
                      <w:sz w:val="24"/>
                      <w:szCs w:val="24"/>
                      <w:highlight w:val="none"/>
                      <w:vertAlign w:val="baseline"/>
                      <w:lang w:val="en-US" w:eastAsia="zh-CN"/>
                    </w:rPr>
                    <w:t>任职资格要求</w:t>
                  </w:r>
                </w:p>
              </w:tc>
              <w:tc>
                <w:tcPr>
                  <w:tcW w:w="796" w:type="dxa"/>
                </w:tcPr>
                <w:p w14:paraId="41EB4CAD">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default" w:ascii="仿宋_GB2312" w:hAnsi="仿宋_GB2312" w:eastAsia="仿宋_GB2312" w:cs="仿宋_GB2312"/>
                      <w:b w:val="0"/>
                      <w:bCs w:val="0"/>
                      <w:color w:val="auto"/>
                      <w:sz w:val="24"/>
                      <w:szCs w:val="24"/>
                      <w:highlight w:val="none"/>
                      <w:vertAlign w:val="baseline"/>
                      <w:lang w:val="en-US" w:eastAsia="zh-CN"/>
                    </w:rPr>
                  </w:pPr>
                  <w:r>
                    <w:rPr>
                      <w:rFonts w:hint="eastAsia" w:ascii="仿宋_GB2312" w:hAnsi="仿宋_GB2312" w:eastAsia="仿宋_GB2312" w:cs="仿宋_GB2312"/>
                      <w:b w:val="0"/>
                      <w:bCs w:val="0"/>
                      <w:color w:val="auto"/>
                      <w:sz w:val="24"/>
                      <w:szCs w:val="24"/>
                      <w:highlight w:val="none"/>
                      <w:vertAlign w:val="baseline"/>
                      <w:lang w:val="en-US" w:eastAsia="zh-CN"/>
                    </w:rPr>
                    <w:t>数量</w:t>
                  </w:r>
                </w:p>
              </w:tc>
              <w:tc>
                <w:tcPr>
                  <w:tcW w:w="731" w:type="dxa"/>
                </w:tcPr>
                <w:p w14:paraId="447D39D0">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default" w:ascii="仿宋_GB2312" w:hAnsi="仿宋_GB2312" w:eastAsia="仿宋_GB2312" w:cs="仿宋_GB2312"/>
                      <w:b w:val="0"/>
                      <w:bCs w:val="0"/>
                      <w:color w:val="auto"/>
                      <w:sz w:val="24"/>
                      <w:szCs w:val="24"/>
                      <w:highlight w:val="none"/>
                      <w:vertAlign w:val="baseline"/>
                      <w:lang w:val="en-US" w:eastAsia="zh-CN"/>
                    </w:rPr>
                  </w:pPr>
                  <w:r>
                    <w:rPr>
                      <w:rFonts w:hint="eastAsia" w:ascii="仿宋_GB2312" w:hAnsi="仿宋_GB2312" w:eastAsia="仿宋_GB2312" w:cs="仿宋_GB2312"/>
                      <w:b w:val="0"/>
                      <w:bCs w:val="0"/>
                      <w:color w:val="auto"/>
                      <w:sz w:val="24"/>
                      <w:szCs w:val="24"/>
                      <w:highlight w:val="none"/>
                      <w:vertAlign w:val="baseline"/>
                      <w:lang w:val="en-US" w:eastAsia="zh-CN"/>
                    </w:rPr>
                    <w:t>备注</w:t>
                  </w:r>
                </w:p>
              </w:tc>
            </w:tr>
            <w:tr w14:paraId="6983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33" w:type="dxa"/>
                </w:tcPr>
                <w:p w14:paraId="2E0139DB">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default" w:ascii="仿宋_GB2312" w:hAnsi="仿宋_GB2312" w:eastAsia="仿宋_GB2312" w:cs="仿宋_GB2312"/>
                      <w:b w:val="0"/>
                      <w:bCs w:val="0"/>
                      <w:color w:val="auto"/>
                      <w:sz w:val="24"/>
                      <w:szCs w:val="24"/>
                      <w:highlight w:val="none"/>
                      <w:vertAlign w:val="baseline"/>
                      <w:lang w:val="en-US" w:eastAsia="zh-CN"/>
                    </w:rPr>
                  </w:pPr>
                  <w:r>
                    <w:rPr>
                      <w:rFonts w:hint="eastAsia" w:ascii="仿宋_GB2312" w:hAnsi="仿宋_GB2312" w:eastAsia="仿宋_GB2312" w:cs="仿宋_GB2312"/>
                      <w:b w:val="0"/>
                      <w:bCs w:val="0"/>
                      <w:color w:val="auto"/>
                      <w:sz w:val="24"/>
                      <w:szCs w:val="24"/>
                      <w:highlight w:val="none"/>
                      <w:vertAlign w:val="baseline"/>
                      <w:lang w:val="en-US" w:eastAsia="zh-CN"/>
                    </w:rPr>
                    <w:t>1</w:t>
                  </w:r>
                </w:p>
              </w:tc>
              <w:tc>
                <w:tcPr>
                  <w:tcW w:w="1627" w:type="dxa"/>
                </w:tcPr>
                <w:p w14:paraId="6CFDF29B">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default" w:ascii="仿宋_GB2312" w:hAnsi="仿宋_GB2312" w:eastAsia="仿宋_GB2312" w:cs="仿宋_GB2312"/>
                      <w:b w:val="0"/>
                      <w:bCs w:val="0"/>
                      <w:color w:val="auto"/>
                      <w:sz w:val="24"/>
                      <w:szCs w:val="24"/>
                      <w:highlight w:val="none"/>
                      <w:vertAlign w:val="baseline"/>
                      <w:lang w:val="en-US" w:eastAsia="zh-CN"/>
                    </w:rPr>
                  </w:pPr>
                  <w:r>
                    <w:rPr>
                      <w:rFonts w:hint="eastAsia" w:ascii="仿宋_GB2312" w:hAnsi="仿宋_GB2312" w:eastAsia="仿宋_GB2312" w:cs="仿宋_GB2312"/>
                      <w:b w:val="0"/>
                      <w:bCs w:val="0"/>
                      <w:color w:val="auto"/>
                      <w:sz w:val="24"/>
                      <w:szCs w:val="24"/>
                      <w:highlight w:val="none"/>
                      <w:vertAlign w:val="baseline"/>
                      <w:lang w:val="en-US" w:eastAsia="zh-CN"/>
                    </w:rPr>
                    <w:t>项目组成员</w:t>
                  </w:r>
                </w:p>
              </w:tc>
              <w:tc>
                <w:tcPr>
                  <w:tcW w:w="1779" w:type="dxa"/>
                </w:tcPr>
                <w:p w14:paraId="65A2746F">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vertAlign w:val="baseline"/>
                      <w:lang w:val="en-US" w:eastAsia="zh-CN"/>
                    </w:rPr>
                  </w:pPr>
                  <w:r>
                    <w:rPr>
                      <w:rFonts w:hint="eastAsia" w:ascii="仿宋_GB2312" w:hAnsi="仿宋_GB2312" w:eastAsia="仿宋_GB2312" w:cs="仿宋_GB2312"/>
                      <w:b w:val="0"/>
                      <w:bCs w:val="0"/>
                      <w:color w:val="auto"/>
                      <w:sz w:val="24"/>
                      <w:szCs w:val="24"/>
                      <w:highlight w:val="none"/>
                      <w:vertAlign w:val="baseline"/>
                      <w:lang w:val="en-US" w:eastAsia="zh-CN"/>
                    </w:rPr>
                    <w:t>具有注册会计师资格证书</w:t>
                  </w:r>
                </w:p>
              </w:tc>
              <w:tc>
                <w:tcPr>
                  <w:tcW w:w="796" w:type="dxa"/>
                </w:tcPr>
                <w:p w14:paraId="092A3243">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default" w:ascii="仿宋_GB2312" w:hAnsi="仿宋_GB2312" w:eastAsia="仿宋_GB2312" w:cs="仿宋_GB2312"/>
                      <w:b w:val="0"/>
                      <w:bCs w:val="0"/>
                      <w:color w:val="auto"/>
                      <w:sz w:val="24"/>
                      <w:szCs w:val="24"/>
                      <w:highlight w:val="none"/>
                      <w:vertAlign w:val="baseline"/>
                      <w:lang w:val="en-US" w:eastAsia="zh-CN"/>
                    </w:rPr>
                  </w:pPr>
                  <w:r>
                    <w:rPr>
                      <w:rFonts w:hint="eastAsia" w:ascii="仿宋_GB2312" w:hAnsi="仿宋_GB2312" w:eastAsia="仿宋_GB2312" w:cs="仿宋_GB2312"/>
                      <w:b w:val="0"/>
                      <w:bCs w:val="0"/>
                      <w:color w:val="auto"/>
                      <w:sz w:val="24"/>
                      <w:szCs w:val="24"/>
                      <w:highlight w:val="none"/>
                      <w:vertAlign w:val="baseline"/>
                      <w:lang w:val="en-US" w:eastAsia="zh-CN"/>
                    </w:rPr>
                    <w:t>6</w:t>
                  </w:r>
                </w:p>
              </w:tc>
              <w:tc>
                <w:tcPr>
                  <w:tcW w:w="731" w:type="dxa"/>
                </w:tcPr>
                <w:p w14:paraId="31383CB0">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vertAlign w:val="baseline"/>
                      <w:lang w:val="en-US" w:eastAsia="zh-CN"/>
                    </w:rPr>
                  </w:pPr>
                </w:p>
              </w:tc>
            </w:tr>
            <w:tr w14:paraId="6C402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3" w:type="dxa"/>
                </w:tcPr>
                <w:p w14:paraId="0BE66825">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default" w:ascii="仿宋_GB2312" w:hAnsi="仿宋_GB2312" w:eastAsia="仿宋_GB2312" w:cs="仿宋_GB2312"/>
                      <w:b w:val="0"/>
                      <w:bCs w:val="0"/>
                      <w:color w:val="auto"/>
                      <w:sz w:val="24"/>
                      <w:szCs w:val="24"/>
                      <w:highlight w:val="none"/>
                      <w:vertAlign w:val="baseline"/>
                      <w:lang w:val="en-US" w:eastAsia="zh-CN"/>
                    </w:rPr>
                  </w:pPr>
                  <w:r>
                    <w:rPr>
                      <w:rFonts w:hint="eastAsia" w:ascii="仿宋_GB2312" w:hAnsi="仿宋_GB2312" w:eastAsia="仿宋_GB2312" w:cs="仿宋_GB2312"/>
                      <w:b w:val="0"/>
                      <w:bCs w:val="0"/>
                      <w:color w:val="auto"/>
                      <w:sz w:val="24"/>
                      <w:szCs w:val="24"/>
                      <w:highlight w:val="none"/>
                      <w:vertAlign w:val="baseline"/>
                      <w:lang w:val="en-US" w:eastAsia="zh-CN"/>
                    </w:rPr>
                    <w:t>2</w:t>
                  </w:r>
                </w:p>
              </w:tc>
              <w:tc>
                <w:tcPr>
                  <w:tcW w:w="1627" w:type="dxa"/>
                </w:tcPr>
                <w:p w14:paraId="7FB0C500">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default" w:ascii="仿宋_GB2312" w:hAnsi="仿宋_GB2312" w:eastAsia="仿宋_GB2312" w:cs="仿宋_GB2312"/>
                      <w:b w:val="0"/>
                      <w:bCs w:val="0"/>
                      <w:color w:val="auto"/>
                      <w:sz w:val="24"/>
                      <w:szCs w:val="24"/>
                      <w:highlight w:val="none"/>
                      <w:vertAlign w:val="baseline"/>
                      <w:lang w:val="en-US" w:eastAsia="zh-CN"/>
                    </w:rPr>
                  </w:pPr>
                  <w:r>
                    <w:rPr>
                      <w:rFonts w:hint="eastAsia" w:ascii="仿宋_GB2312" w:hAnsi="仿宋_GB2312" w:eastAsia="仿宋_GB2312" w:cs="仿宋_GB2312"/>
                      <w:b w:val="0"/>
                      <w:bCs w:val="0"/>
                      <w:color w:val="auto"/>
                      <w:sz w:val="24"/>
                      <w:szCs w:val="24"/>
                      <w:highlight w:val="none"/>
                      <w:vertAlign w:val="baseline"/>
                      <w:lang w:val="en-US" w:eastAsia="zh-CN"/>
                    </w:rPr>
                    <w:t>项目组成员</w:t>
                  </w:r>
                </w:p>
              </w:tc>
              <w:tc>
                <w:tcPr>
                  <w:tcW w:w="1779" w:type="dxa"/>
                </w:tcPr>
                <w:p w14:paraId="6F01C77C">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default" w:ascii="仿宋_GB2312" w:hAnsi="仿宋_GB2312" w:eastAsia="仿宋_GB2312" w:cs="仿宋_GB2312"/>
                      <w:b w:val="0"/>
                      <w:bCs w:val="0"/>
                      <w:color w:val="auto"/>
                      <w:sz w:val="24"/>
                      <w:szCs w:val="24"/>
                      <w:highlight w:val="none"/>
                      <w:vertAlign w:val="baseline"/>
                      <w:lang w:val="en-US" w:eastAsia="zh-CN"/>
                    </w:rPr>
                  </w:pPr>
                  <w:r>
                    <w:rPr>
                      <w:rFonts w:hint="eastAsia" w:ascii="仿宋_GB2312" w:hAnsi="仿宋_GB2312" w:eastAsia="仿宋_GB2312" w:cs="仿宋_GB2312"/>
                      <w:b w:val="0"/>
                      <w:bCs w:val="0"/>
                      <w:color w:val="auto"/>
                      <w:sz w:val="24"/>
                      <w:szCs w:val="24"/>
                      <w:highlight w:val="none"/>
                      <w:vertAlign w:val="baseline"/>
                      <w:lang w:val="en-US" w:eastAsia="zh-CN"/>
                    </w:rPr>
                    <w:t>/</w:t>
                  </w:r>
                </w:p>
              </w:tc>
              <w:tc>
                <w:tcPr>
                  <w:tcW w:w="796" w:type="dxa"/>
                </w:tcPr>
                <w:p w14:paraId="46F22A97">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default" w:ascii="仿宋_GB2312" w:hAnsi="仿宋_GB2312" w:eastAsia="仿宋_GB2312" w:cs="仿宋_GB2312"/>
                      <w:b w:val="0"/>
                      <w:bCs w:val="0"/>
                      <w:color w:val="auto"/>
                      <w:sz w:val="24"/>
                      <w:szCs w:val="24"/>
                      <w:highlight w:val="none"/>
                      <w:vertAlign w:val="baseline"/>
                      <w:lang w:val="en-US" w:eastAsia="zh-CN"/>
                    </w:rPr>
                  </w:pPr>
                  <w:r>
                    <w:rPr>
                      <w:rFonts w:hint="eastAsia" w:ascii="仿宋_GB2312" w:hAnsi="仿宋_GB2312" w:eastAsia="仿宋_GB2312" w:cs="仿宋_GB2312"/>
                      <w:b w:val="0"/>
                      <w:bCs w:val="0"/>
                      <w:color w:val="auto"/>
                      <w:sz w:val="24"/>
                      <w:szCs w:val="24"/>
                      <w:highlight w:val="none"/>
                      <w:vertAlign w:val="baseline"/>
                      <w:lang w:val="en-US" w:eastAsia="zh-CN"/>
                    </w:rPr>
                    <w:t>6</w:t>
                  </w:r>
                </w:p>
              </w:tc>
              <w:tc>
                <w:tcPr>
                  <w:tcW w:w="731" w:type="dxa"/>
                </w:tcPr>
                <w:p w14:paraId="31731D16">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vertAlign w:val="baseline"/>
                      <w:lang w:val="en-US" w:eastAsia="zh-CN"/>
                    </w:rPr>
                  </w:pPr>
                </w:p>
              </w:tc>
            </w:tr>
            <w:tr w14:paraId="3D945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3" w:type="dxa"/>
                </w:tcPr>
                <w:p w14:paraId="0E215327">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default" w:ascii="仿宋_GB2312" w:hAnsi="仿宋_GB2312" w:eastAsia="仿宋_GB2312" w:cs="仿宋_GB2312"/>
                      <w:b w:val="0"/>
                      <w:bCs w:val="0"/>
                      <w:color w:val="auto"/>
                      <w:sz w:val="24"/>
                      <w:szCs w:val="24"/>
                      <w:highlight w:val="none"/>
                      <w:vertAlign w:val="baseline"/>
                      <w:lang w:val="en-US" w:eastAsia="zh-CN"/>
                    </w:rPr>
                  </w:pPr>
                  <w:r>
                    <w:rPr>
                      <w:rFonts w:hint="eastAsia" w:ascii="仿宋_GB2312" w:hAnsi="仿宋_GB2312" w:eastAsia="仿宋_GB2312" w:cs="仿宋_GB2312"/>
                      <w:b w:val="0"/>
                      <w:bCs w:val="0"/>
                      <w:color w:val="auto"/>
                      <w:sz w:val="24"/>
                      <w:szCs w:val="24"/>
                      <w:highlight w:val="none"/>
                      <w:vertAlign w:val="baseline"/>
                      <w:lang w:val="en-US" w:eastAsia="zh-CN"/>
                    </w:rPr>
                    <w:t>合计</w:t>
                  </w:r>
                </w:p>
              </w:tc>
              <w:tc>
                <w:tcPr>
                  <w:tcW w:w="1627" w:type="dxa"/>
                </w:tcPr>
                <w:p w14:paraId="1EE27B0F">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vertAlign w:val="baseline"/>
                      <w:lang w:val="en-US" w:eastAsia="zh-CN"/>
                    </w:rPr>
                  </w:pPr>
                </w:p>
              </w:tc>
              <w:tc>
                <w:tcPr>
                  <w:tcW w:w="1779" w:type="dxa"/>
                </w:tcPr>
                <w:p w14:paraId="3092C059">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vertAlign w:val="baseline"/>
                      <w:lang w:val="en-US" w:eastAsia="zh-CN"/>
                    </w:rPr>
                  </w:pPr>
                </w:p>
              </w:tc>
              <w:tc>
                <w:tcPr>
                  <w:tcW w:w="796" w:type="dxa"/>
                </w:tcPr>
                <w:p w14:paraId="6D320AE3">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default" w:ascii="仿宋_GB2312" w:hAnsi="仿宋_GB2312" w:eastAsia="仿宋_GB2312" w:cs="仿宋_GB2312"/>
                      <w:b w:val="0"/>
                      <w:bCs w:val="0"/>
                      <w:color w:val="auto"/>
                      <w:sz w:val="24"/>
                      <w:szCs w:val="24"/>
                      <w:highlight w:val="none"/>
                      <w:vertAlign w:val="baseline"/>
                      <w:lang w:val="en-US" w:eastAsia="zh-CN"/>
                    </w:rPr>
                  </w:pPr>
                  <w:r>
                    <w:rPr>
                      <w:rFonts w:hint="eastAsia" w:ascii="仿宋_GB2312" w:hAnsi="仿宋_GB2312" w:eastAsia="仿宋_GB2312" w:cs="仿宋_GB2312"/>
                      <w:b w:val="0"/>
                      <w:bCs w:val="0"/>
                      <w:color w:val="auto"/>
                      <w:sz w:val="24"/>
                      <w:szCs w:val="24"/>
                      <w:highlight w:val="none"/>
                      <w:vertAlign w:val="baseline"/>
                      <w:lang w:val="en-US" w:eastAsia="zh-CN"/>
                    </w:rPr>
                    <w:t>12</w:t>
                  </w:r>
                </w:p>
              </w:tc>
              <w:tc>
                <w:tcPr>
                  <w:tcW w:w="731" w:type="dxa"/>
                </w:tcPr>
                <w:p w14:paraId="018D1ED2">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vertAlign w:val="baseline"/>
                      <w:lang w:val="en-US" w:eastAsia="zh-CN"/>
                    </w:rPr>
                  </w:pPr>
                </w:p>
              </w:tc>
            </w:tr>
          </w:tbl>
          <w:p w14:paraId="7D578571">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sz w:val="24"/>
                <w:szCs w:val="24"/>
                <w:highlight w:val="none"/>
                <w:lang w:val="en-US" w:eastAsia="zh-CN"/>
              </w:rPr>
              <w:t>注：需按以上要求提供相关证书、以上人员须为供应商正式员工，在供应商企业办理劳动合同关系（提供劳动合同）、提供在供应商企业缴纳养老保险的证明（提供在本单位缴纳的养老保险证明或者网络查询打印件，至少包括2026年01月01日以来任意1个月的养老保险。如因相关政策原因未及时缴纳的，需同时提供已缴纳的最近一个月养老保险证明及政府部门发布的相关政策文件，公司成立不足一个月的可不提供养老保险证明）。</w:t>
            </w:r>
          </w:p>
        </w:tc>
        <w:tc>
          <w:tcPr>
            <w:tcW w:w="1062" w:type="dxa"/>
            <w:vMerge w:val="continue"/>
            <w:shd w:val="clear" w:color="auto" w:fill="auto"/>
            <w:vAlign w:val="center"/>
          </w:tcPr>
          <w:p w14:paraId="079B877D">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color w:val="auto"/>
                <w:sz w:val="24"/>
                <w:szCs w:val="24"/>
                <w:highlight w:val="none"/>
                <w:lang w:val="en-US" w:eastAsia="zh-CN"/>
              </w:rPr>
            </w:pPr>
          </w:p>
        </w:tc>
      </w:tr>
      <w:tr w14:paraId="33270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7" w:hRule="atLeast"/>
        </w:trPr>
        <w:tc>
          <w:tcPr>
            <w:tcW w:w="1351" w:type="dxa"/>
            <w:vMerge w:val="continue"/>
            <w:shd w:val="clear" w:color="auto" w:fill="auto"/>
            <w:vAlign w:val="center"/>
          </w:tcPr>
          <w:p w14:paraId="6DD23EFB">
            <w:pPr>
              <w:keepNext w:val="0"/>
              <w:keepLines w:val="0"/>
              <w:pageBreakBefore w:val="0"/>
              <w:widowControl w:val="0"/>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highlight w:val="none"/>
                <w:lang w:val="en-US" w:eastAsia="zh-CN"/>
              </w:rPr>
            </w:pPr>
          </w:p>
        </w:tc>
        <w:tc>
          <w:tcPr>
            <w:tcW w:w="3382" w:type="dxa"/>
            <w:shd w:val="clear" w:color="auto" w:fill="auto"/>
            <w:vAlign w:val="center"/>
          </w:tcPr>
          <w:p w14:paraId="649BC204">
            <w:pPr>
              <w:keepNext w:val="0"/>
              <w:keepLines w:val="0"/>
              <w:pageBreakBefore w:val="0"/>
              <w:widowControl w:val="0"/>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zh-CN" w:eastAsia="zh-CN"/>
              </w:rPr>
              <w:t>服务承诺（</w:t>
            </w:r>
            <w:r>
              <w:rPr>
                <w:rFonts w:hint="eastAsia" w:ascii="仿宋_GB2312" w:hAnsi="仿宋_GB2312" w:eastAsia="仿宋_GB2312" w:cs="仿宋_GB2312"/>
                <w:b w:val="0"/>
                <w:bCs w:val="0"/>
                <w:color w:val="auto"/>
                <w:sz w:val="24"/>
                <w:szCs w:val="24"/>
                <w:highlight w:val="none"/>
                <w:lang w:val="en-US" w:eastAsia="zh-CN"/>
              </w:rPr>
              <w:t>9分</w:t>
            </w:r>
            <w:r>
              <w:rPr>
                <w:rFonts w:hint="eastAsia" w:ascii="仿宋_GB2312" w:hAnsi="仿宋_GB2312" w:eastAsia="仿宋_GB2312" w:cs="仿宋_GB2312"/>
                <w:b w:val="0"/>
                <w:bCs w:val="0"/>
                <w:color w:val="auto"/>
                <w:sz w:val="24"/>
                <w:szCs w:val="24"/>
                <w:highlight w:val="none"/>
                <w:lang w:val="zh-CN" w:eastAsia="zh-CN"/>
              </w:rPr>
              <w:t>）</w:t>
            </w:r>
          </w:p>
        </w:tc>
        <w:tc>
          <w:tcPr>
            <w:tcW w:w="6832" w:type="dxa"/>
            <w:shd w:val="clear" w:color="auto" w:fill="auto"/>
            <w:vAlign w:val="center"/>
          </w:tcPr>
          <w:p w14:paraId="0CE07872">
            <w:pPr>
              <w:keepNext w:val="0"/>
              <w:keepLines w:val="0"/>
              <w:pageBreakBefore w:val="0"/>
              <w:widowControl w:val="0"/>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（1）承诺项目拟投入人员亲自到场服务，在审计过程中相关专业人员积极提供相关服务，保质保量完成工作。（0-3分）</w:t>
            </w:r>
          </w:p>
          <w:p w14:paraId="48C88193">
            <w:pPr>
              <w:keepNext w:val="0"/>
              <w:keepLines w:val="0"/>
              <w:pageBreakBefore w:val="0"/>
              <w:widowControl w:val="0"/>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（2）承诺配合采购单位协调各方关系，确保项目的顺利实施，并有实质性措施。（0-3分）</w:t>
            </w:r>
          </w:p>
          <w:p w14:paraId="66660D38">
            <w:pPr>
              <w:keepNext w:val="0"/>
              <w:keepLines w:val="0"/>
              <w:pageBreakBefore w:val="0"/>
              <w:widowControl w:val="0"/>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3）事务所的合伙人或者股东应当持有中华人民共和国注册会计师证书，在会计师事务所专职执业，并且成为合伙人或者股东前3年内没有因为职业行为收到行政处罚（提供加盖单位公章的承诺书），有此承诺得3分，不提供者不得分。（3分）</w:t>
            </w:r>
          </w:p>
          <w:p w14:paraId="7C603D2E">
            <w:pPr>
              <w:keepNext w:val="0"/>
              <w:keepLines w:val="0"/>
              <w:pageBreakBefore w:val="0"/>
              <w:widowControl w:val="0"/>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注：以上各项如缺项，则相对应该项为0分。</w:t>
            </w:r>
            <w:bookmarkStart w:id="0" w:name="_GoBack"/>
            <w:bookmarkEnd w:id="0"/>
          </w:p>
        </w:tc>
        <w:tc>
          <w:tcPr>
            <w:tcW w:w="1062" w:type="dxa"/>
            <w:vMerge w:val="continue"/>
            <w:shd w:val="clear" w:color="auto" w:fill="auto"/>
            <w:vAlign w:val="center"/>
          </w:tcPr>
          <w:p w14:paraId="0C988654">
            <w:pPr>
              <w:keepNext w:val="0"/>
              <w:keepLines w:val="0"/>
              <w:pageBreakBefore w:val="0"/>
              <w:widowControl w:val="0"/>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color w:val="auto"/>
                <w:sz w:val="24"/>
                <w:szCs w:val="24"/>
                <w:highlight w:val="none"/>
                <w:lang w:val="en-US" w:eastAsia="zh-CN"/>
              </w:rPr>
            </w:pPr>
          </w:p>
        </w:tc>
      </w:tr>
      <w:tr w14:paraId="44D05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11565" w:type="dxa"/>
            <w:gridSpan w:val="3"/>
            <w:shd w:val="clear" w:color="auto" w:fill="auto"/>
            <w:vAlign w:val="center"/>
          </w:tcPr>
          <w:p w14:paraId="55A41418">
            <w:pPr>
              <w:keepNext w:val="0"/>
              <w:keepLines w:val="0"/>
              <w:pageBreakBefore w:val="0"/>
              <w:widowControl w:val="0"/>
              <w:kinsoku/>
              <w:wordWrap/>
              <w:overflowPunct/>
              <w:topLinePunct w:val="0"/>
              <w:autoSpaceDE/>
              <w:autoSpaceDN/>
              <w:bidi w:val="0"/>
              <w:adjustRightInd/>
              <w:snapToGrid w:val="0"/>
              <w:spacing w:line="400" w:lineRule="exact"/>
              <w:jc w:val="center"/>
              <w:textAlignment w:val="center"/>
              <w:rPr>
                <w:rFonts w:hint="default"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合计</w:t>
            </w:r>
          </w:p>
        </w:tc>
        <w:tc>
          <w:tcPr>
            <w:tcW w:w="1062" w:type="dxa"/>
            <w:shd w:val="clear" w:color="auto" w:fill="auto"/>
            <w:vAlign w:val="center"/>
          </w:tcPr>
          <w:p w14:paraId="71CAAAD8">
            <w:pPr>
              <w:keepNext w:val="0"/>
              <w:keepLines w:val="0"/>
              <w:pageBreakBefore w:val="0"/>
              <w:widowControl w:val="0"/>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color w:val="auto"/>
                <w:sz w:val="24"/>
                <w:szCs w:val="24"/>
                <w:highlight w:val="none"/>
                <w:lang w:val="en-US" w:eastAsia="zh-CN"/>
              </w:rPr>
            </w:pPr>
          </w:p>
        </w:tc>
      </w:tr>
    </w:tbl>
    <w:p w14:paraId="2F0D9C8F">
      <w:pPr>
        <w:keepNext w:val="0"/>
        <w:keepLines w:val="0"/>
        <w:pageBreakBefore w:val="0"/>
        <w:widowControl w:val="0"/>
        <w:kinsoku/>
        <w:wordWrap/>
        <w:overflowPunct/>
        <w:topLinePunct w:val="0"/>
        <w:autoSpaceDE/>
        <w:autoSpaceDN/>
        <w:bidi w:val="0"/>
        <w:adjustRightInd/>
        <w:jc w:val="both"/>
        <w:rPr>
          <w:rFonts w:hint="eastAsia" w:ascii="方正小标宋简体" w:hAnsi="方正小标宋简体" w:eastAsia="方正小标宋简体" w:cs="方正小标宋简体"/>
          <w:b w:val="0"/>
          <w:bCs w:val="0"/>
          <w:color w:val="auto"/>
          <w:kern w:val="0"/>
          <w:sz w:val="44"/>
          <w:szCs w:val="44"/>
          <w:highlight w:val="none"/>
          <w:u w:val="none"/>
          <w:lang w:val="en-US" w:eastAsia="zh-CN" w:bidi="ar"/>
        </w:rPr>
      </w:pPr>
    </w:p>
    <w:sectPr>
      <w:headerReference r:id="rId7" w:type="default"/>
      <w:footerReference r:id="rId9" w:type="default"/>
      <w:headerReference r:id="rId8" w:type="even"/>
      <w:footerReference r:id="rId10" w:type="even"/>
      <w:pgSz w:w="16838" w:h="11906" w:orient="landscape"/>
      <w:pgMar w:top="1588" w:right="2098" w:bottom="1474" w:left="1984" w:header="1361" w:footer="1417"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430D7DE-B43B-434D-8A88-7033EF95AEB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2" w:fontKey="{29515D10-C1DD-4712-AB0A-39B2F5666C6F}"/>
  </w:font>
  <w:font w:name="方正大标宋简体">
    <w:altName w:val="微软雅黑"/>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3" w:fontKey="{DC169508-D99D-4482-AEBE-E5F198784F3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D0246">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38D03">
                          <w:pPr>
                            <w:pStyle w:val="8"/>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1F238D03">
                    <w:pPr>
                      <w:pStyle w:val="8"/>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5B7CD">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608C9F">
                          <w:pPr>
                            <w:pStyle w:val="8"/>
                            <w:keepNext w:val="0"/>
                            <w:keepLines w:val="0"/>
                            <w:pageBreakBefore w:val="0"/>
                            <w:widowControl w:val="0"/>
                            <w:kinsoku/>
                            <w:wordWrap/>
                            <w:overflowPunct/>
                            <w:topLinePunct w:val="0"/>
                            <w:bidi w:val="0"/>
                            <w:adjustRightInd/>
                            <w:snapToGrid w:val="0"/>
                            <w:spacing w:line="240" w:lineRule="auto"/>
                            <w:ind w:right="320" w:rightChars="100"/>
                            <w:jc w:val="right"/>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2D608C9F">
                    <w:pPr>
                      <w:pStyle w:val="8"/>
                      <w:keepNext w:val="0"/>
                      <w:keepLines w:val="0"/>
                      <w:pageBreakBefore w:val="0"/>
                      <w:widowControl w:val="0"/>
                      <w:kinsoku/>
                      <w:wordWrap/>
                      <w:overflowPunct/>
                      <w:topLinePunct w:val="0"/>
                      <w:bidi w:val="0"/>
                      <w:adjustRightInd/>
                      <w:snapToGrid w:val="0"/>
                      <w:spacing w:line="240" w:lineRule="auto"/>
                      <w:ind w:right="320" w:rightChars="100"/>
                      <w:jc w:val="right"/>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2A619">
    <w:pPr>
      <w:pStyle w:val="8"/>
    </w:pPr>
    <w:r>
      <w:rPr>
        <w:sz w:val="18"/>
      </w:rPr>
      <mc:AlternateContent>
        <mc:Choice Requires="wps">
          <w:drawing>
            <wp:anchor distT="0" distB="0" distL="114300" distR="114300" simplePos="0" relativeHeight="251662336"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82CEF1">
                          <w:pPr>
                            <w:pStyle w:val="8"/>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A82CEF1">
                    <w:pPr>
                      <w:pStyle w:val="8"/>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7718C">
    <w:pPr>
      <w:pStyle w:val="9"/>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A14F7">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ED28B">
    <w:pPr>
      <w:pStyle w:val="9"/>
    </w:pPr>
    <w:r>
      <w:rPr>
        <w:sz w:val="18"/>
      </w:rPr>
      <mc:AlternateContent>
        <mc:Choice Requires="wps">
          <w:drawing>
            <wp:anchor distT="0" distB="0" distL="114300" distR="114300" simplePos="0" relativeHeight="251661312" behindDoc="0" locked="0" layoutInCell="1" allowOverlap="1">
              <wp:simplePos x="0" y="0"/>
              <wp:positionH relativeFrom="margin">
                <wp:posOffset>-249555</wp:posOffset>
              </wp:positionH>
              <wp:positionV relativeFrom="paragraph">
                <wp:posOffset>141605</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3BA4BB">
                          <w:pPr>
                            <w:pStyle w:val="8"/>
                            <w:keepNext w:val="0"/>
                            <w:keepLines w:val="0"/>
                            <w:pageBreakBefore w:val="0"/>
                            <w:widowControl w:val="0"/>
                            <w:kinsoku/>
                            <w:wordWrap/>
                            <w:overflowPunct/>
                            <w:topLinePunct w:val="0"/>
                            <w:bidi w:val="0"/>
                            <w:adjustRightInd/>
                            <w:snapToGrid w:val="0"/>
                            <w:spacing w:line="240" w:lineRule="auto"/>
                            <w:ind w:left="320" w:lef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eaVert"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65pt;margin-top:11.15pt;height:144pt;width:144pt;mso-position-horizontal-relative:margin;mso-wrap-style:none;z-index:251661312;mso-width-relative:page;mso-height-relative:page;" filled="f" stroked="f" coordsize="21600,21600" o:gfxdata="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Lhys0jaAAAACgEAAA8AAAAAAAAAAQAgAAAAIgAAAGRycy9kb3du&#10;cmV2LnhtbFBLAQIUABQAAAAIAIdO4kCT8XgBNgIAAGUEAAAOAAAAAAAAAAEAIAAAACkBAABkcnMv&#10;ZTJvRG9jLnhtbFBLBQYAAAAABgAGAFkBAADRBQAAAAA=&#10;">
              <v:fill on="f" focussize="0,0"/>
              <v:stroke on="f" weight="0.5pt"/>
              <v:imagedata o:title=""/>
              <o:lock v:ext="edit" aspectratio="f"/>
              <v:textbox inset="0mm,0mm,0mm,0mm" style="layout-flow:vertical-ideographic;mso-fit-shape-to-text:t;">
                <w:txbxContent>
                  <w:p w14:paraId="4D3BA4BB">
                    <w:pPr>
                      <w:pStyle w:val="8"/>
                      <w:keepNext w:val="0"/>
                      <w:keepLines w:val="0"/>
                      <w:pageBreakBefore w:val="0"/>
                      <w:widowControl w:val="0"/>
                      <w:kinsoku/>
                      <w:wordWrap/>
                      <w:overflowPunct/>
                      <w:topLinePunct w:val="0"/>
                      <w:bidi w:val="0"/>
                      <w:adjustRightInd/>
                      <w:snapToGrid w:val="0"/>
                      <w:spacing w:line="240" w:lineRule="auto"/>
                      <w:ind w:left="320" w:lef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1"/>
      <w:numFmt w:val="decimal"/>
      <w:suff w:val="nothing"/>
      <w:lvlText w:val="第%1章 "/>
      <w:lvlJc w:val="left"/>
      <w:pPr>
        <w:ind w:left="0" w:firstLine="0"/>
      </w:pPr>
      <w:rPr>
        <w:rFonts w:hint="eastAsia" w:ascii="方正大标宋简体" w:eastAsia="方正大标宋简体"/>
        <w:b w:val="0"/>
        <w:i w:val="0"/>
        <w:sz w:val="36"/>
        <w:szCs w:val="36"/>
        <w14:shadow w14:blurRad="50800" w14:dist="38100" w14:dir="2700000" w14:sx="100000" w14:sy="100000" w14:kx="0" w14:ky="0" w14:algn="tl">
          <w14:srgbClr w14:val="000000">
            <w14:alpha w14:val="60000"/>
          </w14:srgbClr>
        </w14:shadow>
      </w:rPr>
    </w:lvl>
    <w:lvl w:ilvl="1" w:tentative="0">
      <w:start w:val="1"/>
      <w:numFmt w:val="decimal"/>
      <w:pStyle w:val="3"/>
      <w:suff w:val="nothing"/>
      <w:lvlText w:val="    %2、"/>
      <w:lvlJc w:val="left"/>
      <w:pPr>
        <w:ind w:left="0" w:firstLine="0"/>
      </w:pPr>
      <w:rPr>
        <w:rFonts w:hint="eastAsia" w:ascii="黑体" w:eastAsia="黑体"/>
        <w:b/>
        <w:i w:val="0"/>
        <w:sz w:val="30"/>
        <w:szCs w:val="30"/>
      </w:rPr>
    </w:lvl>
    <w:lvl w:ilvl="2" w:tentative="0">
      <w:start w:val="1"/>
      <w:numFmt w:val="decimal"/>
      <w:suff w:val="nothing"/>
      <w:lvlText w:val="    %2.%3 "/>
      <w:lvlJc w:val="left"/>
      <w:pPr>
        <w:ind w:left="459" w:firstLine="0"/>
      </w:pPr>
      <w:rPr>
        <w:rFonts w:cs="Times New Roman"/>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3" w:tentative="0">
      <w:start w:val="1"/>
      <w:numFmt w:val="decimal"/>
      <w:suff w:val="nothing"/>
      <w:lvlText w:val="    %2.%3.%4  "/>
      <w:lvlJc w:val="left"/>
      <w:pPr>
        <w:ind w:left="0" w:firstLine="0"/>
      </w:pPr>
      <w:rPr>
        <w:rFonts w:hint="eastAsia" w:ascii="仿宋_GB2312" w:eastAsia="仿宋_GB2312"/>
        <w:b/>
        <w:i w:val="0"/>
        <w:sz w:val="28"/>
        <w:szCs w:val="28"/>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6157F"/>
    <w:rsid w:val="007756C4"/>
    <w:rsid w:val="00DE02AD"/>
    <w:rsid w:val="00FE7031"/>
    <w:rsid w:val="013A62EF"/>
    <w:rsid w:val="015809C4"/>
    <w:rsid w:val="01893391"/>
    <w:rsid w:val="01CB2408"/>
    <w:rsid w:val="025A704C"/>
    <w:rsid w:val="02844DF9"/>
    <w:rsid w:val="02A254B9"/>
    <w:rsid w:val="03B63B6A"/>
    <w:rsid w:val="044653B3"/>
    <w:rsid w:val="04810F1A"/>
    <w:rsid w:val="049D10CF"/>
    <w:rsid w:val="04B15528"/>
    <w:rsid w:val="051723D0"/>
    <w:rsid w:val="05C34B4B"/>
    <w:rsid w:val="0640428E"/>
    <w:rsid w:val="065613AF"/>
    <w:rsid w:val="068838F4"/>
    <w:rsid w:val="072D443A"/>
    <w:rsid w:val="07A04291"/>
    <w:rsid w:val="080C703A"/>
    <w:rsid w:val="0837350B"/>
    <w:rsid w:val="085F3E0A"/>
    <w:rsid w:val="089303A1"/>
    <w:rsid w:val="098E7D44"/>
    <w:rsid w:val="0999397B"/>
    <w:rsid w:val="0A132C02"/>
    <w:rsid w:val="0A926F89"/>
    <w:rsid w:val="0A995273"/>
    <w:rsid w:val="0B1B5AF2"/>
    <w:rsid w:val="0D044068"/>
    <w:rsid w:val="0D232A61"/>
    <w:rsid w:val="0D5E0EC2"/>
    <w:rsid w:val="0DA770F4"/>
    <w:rsid w:val="0DF843DB"/>
    <w:rsid w:val="0F5A207F"/>
    <w:rsid w:val="0FC150CF"/>
    <w:rsid w:val="10202EE0"/>
    <w:rsid w:val="103709CC"/>
    <w:rsid w:val="10ED53C5"/>
    <w:rsid w:val="118E7C72"/>
    <w:rsid w:val="11A02710"/>
    <w:rsid w:val="11DA4164"/>
    <w:rsid w:val="128B732C"/>
    <w:rsid w:val="13A740BB"/>
    <w:rsid w:val="13C53FD0"/>
    <w:rsid w:val="13CD6F8A"/>
    <w:rsid w:val="14DC77B4"/>
    <w:rsid w:val="14F350C1"/>
    <w:rsid w:val="1554390E"/>
    <w:rsid w:val="15C71D52"/>
    <w:rsid w:val="167531CC"/>
    <w:rsid w:val="16D3266C"/>
    <w:rsid w:val="16F45869"/>
    <w:rsid w:val="16FA35FD"/>
    <w:rsid w:val="172A1B84"/>
    <w:rsid w:val="174B577D"/>
    <w:rsid w:val="17A83829"/>
    <w:rsid w:val="17B81B2C"/>
    <w:rsid w:val="184D326B"/>
    <w:rsid w:val="188E21CD"/>
    <w:rsid w:val="188F4D22"/>
    <w:rsid w:val="18C54E6D"/>
    <w:rsid w:val="18EC06F0"/>
    <w:rsid w:val="18FA6A3B"/>
    <w:rsid w:val="19783B9B"/>
    <w:rsid w:val="1A444411"/>
    <w:rsid w:val="1A6622C5"/>
    <w:rsid w:val="1ADA1E4F"/>
    <w:rsid w:val="1B3A2C32"/>
    <w:rsid w:val="1B841FCE"/>
    <w:rsid w:val="1BB73089"/>
    <w:rsid w:val="1C353ED6"/>
    <w:rsid w:val="1D035DBE"/>
    <w:rsid w:val="1DEB3927"/>
    <w:rsid w:val="1E18340C"/>
    <w:rsid w:val="1E3723A2"/>
    <w:rsid w:val="1F1C7BF6"/>
    <w:rsid w:val="1F29350C"/>
    <w:rsid w:val="1F5305DE"/>
    <w:rsid w:val="1F7D0CD8"/>
    <w:rsid w:val="1FAC4343"/>
    <w:rsid w:val="1FC1372A"/>
    <w:rsid w:val="1FD71884"/>
    <w:rsid w:val="1FF535FC"/>
    <w:rsid w:val="202D39A2"/>
    <w:rsid w:val="203B64EB"/>
    <w:rsid w:val="204760FB"/>
    <w:rsid w:val="20674A13"/>
    <w:rsid w:val="20766830"/>
    <w:rsid w:val="20855784"/>
    <w:rsid w:val="20A0048B"/>
    <w:rsid w:val="213C3006"/>
    <w:rsid w:val="217D437D"/>
    <w:rsid w:val="22A77977"/>
    <w:rsid w:val="237C4C1C"/>
    <w:rsid w:val="23966839"/>
    <w:rsid w:val="23E960C6"/>
    <w:rsid w:val="240D5F2F"/>
    <w:rsid w:val="24B85FE4"/>
    <w:rsid w:val="24EB6695"/>
    <w:rsid w:val="24ED62A3"/>
    <w:rsid w:val="251C1370"/>
    <w:rsid w:val="255D6B88"/>
    <w:rsid w:val="25A4254E"/>
    <w:rsid w:val="268742DF"/>
    <w:rsid w:val="269A5A41"/>
    <w:rsid w:val="26E3633D"/>
    <w:rsid w:val="273C2970"/>
    <w:rsid w:val="275102B3"/>
    <w:rsid w:val="277902B7"/>
    <w:rsid w:val="27833A08"/>
    <w:rsid w:val="28B11632"/>
    <w:rsid w:val="2923010D"/>
    <w:rsid w:val="29233D8C"/>
    <w:rsid w:val="29305143"/>
    <w:rsid w:val="293E7836"/>
    <w:rsid w:val="29F319B0"/>
    <w:rsid w:val="2A694AFF"/>
    <w:rsid w:val="2AAB228B"/>
    <w:rsid w:val="2AB22C1B"/>
    <w:rsid w:val="2B3264F9"/>
    <w:rsid w:val="2B471464"/>
    <w:rsid w:val="2BA423EE"/>
    <w:rsid w:val="2BE542DC"/>
    <w:rsid w:val="2C253164"/>
    <w:rsid w:val="2CE43832"/>
    <w:rsid w:val="2D197980"/>
    <w:rsid w:val="2D1E38B1"/>
    <w:rsid w:val="2D4E5BFC"/>
    <w:rsid w:val="2DF87595"/>
    <w:rsid w:val="2E0D033E"/>
    <w:rsid w:val="2E9F1F0C"/>
    <w:rsid w:val="2ED00512"/>
    <w:rsid w:val="2FE70FA2"/>
    <w:rsid w:val="2FFA0EC4"/>
    <w:rsid w:val="2FFF0BCF"/>
    <w:rsid w:val="305765F9"/>
    <w:rsid w:val="30AE5029"/>
    <w:rsid w:val="30B914E0"/>
    <w:rsid w:val="30D33DC3"/>
    <w:rsid w:val="31F80989"/>
    <w:rsid w:val="321B7C44"/>
    <w:rsid w:val="321F28F3"/>
    <w:rsid w:val="322B69C3"/>
    <w:rsid w:val="32C51616"/>
    <w:rsid w:val="32FD49EB"/>
    <w:rsid w:val="33444FEF"/>
    <w:rsid w:val="33515D89"/>
    <w:rsid w:val="33DB43A2"/>
    <w:rsid w:val="33F16F60"/>
    <w:rsid w:val="34252813"/>
    <w:rsid w:val="342F6F9B"/>
    <w:rsid w:val="346A57CF"/>
    <w:rsid w:val="34767D6A"/>
    <w:rsid w:val="35004DDD"/>
    <w:rsid w:val="353D2CE5"/>
    <w:rsid w:val="356678F7"/>
    <w:rsid w:val="35917DCF"/>
    <w:rsid w:val="360175AB"/>
    <w:rsid w:val="361B485E"/>
    <w:rsid w:val="36B132AA"/>
    <w:rsid w:val="36C41867"/>
    <w:rsid w:val="36D920B3"/>
    <w:rsid w:val="37FE02EA"/>
    <w:rsid w:val="38064393"/>
    <w:rsid w:val="38312BB1"/>
    <w:rsid w:val="383F45D6"/>
    <w:rsid w:val="389558B9"/>
    <w:rsid w:val="390C3D2B"/>
    <w:rsid w:val="39213C0B"/>
    <w:rsid w:val="39542E1A"/>
    <w:rsid w:val="396B5AB0"/>
    <w:rsid w:val="3A9B6D7C"/>
    <w:rsid w:val="3AFF50B3"/>
    <w:rsid w:val="3B3F3B31"/>
    <w:rsid w:val="3BF83307"/>
    <w:rsid w:val="3C132769"/>
    <w:rsid w:val="3C721FC7"/>
    <w:rsid w:val="3C74072E"/>
    <w:rsid w:val="3C8B095F"/>
    <w:rsid w:val="3C9025B0"/>
    <w:rsid w:val="3CC04181"/>
    <w:rsid w:val="3CCE25B2"/>
    <w:rsid w:val="3CE21E78"/>
    <w:rsid w:val="3D6D46C1"/>
    <w:rsid w:val="3D8263F7"/>
    <w:rsid w:val="3D9E5D28"/>
    <w:rsid w:val="3E1201FF"/>
    <w:rsid w:val="3E254CEB"/>
    <w:rsid w:val="3E795E9D"/>
    <w:rsid w:val="3E962575"/>
    <w:rsid w:val="3ED35B35"/>
    <w:rsid w:val="3FD11DF9"/>
    <w:rsid w:val="408753EB"/>
    <w:rsid w:val="40E15D83"/>
    <w:rsid w:val="416E58CE"/>
    <w:rsid w:val="41EF41FA"/>
    <w:rsid w:val="42004FF4"/>
    <w:rsid w:val="421156DC"/>
    <w:rsid w:val="4218267E"/>
    <w:rsid w:val="42667AB2"/>
    <w:rsid w:val="43595306"/>
    <w:rsid w:val="43716DBC"/>
    <w:rsid w:val="43C6583D"/>
    <w:rsid w:val="43ED0597"/>
    <w:rsid w:val="44D94BC1"/>
    <w:rsid w:val="44DB5385"/>
    <w:rsid w:val="45EC57D9"/>
    <w:rsid w:val="46810B28"/>
    <w:rsid w:val="469A1E62"/>
    <w:rsid w:val="472552CA"/>
    <w:rsid w:val="47A42AA0"/>
    <w:rsid w:val="47B44C4F"/>
    <w:rsid w:val="47E015E3"/>
    <w:rsid w:val="48B25ADB"/>
    <w:rsid w:val="48D302D8"/>
    <w:rsid w:val="48DA67F8"/>
    <w:rsid w:val="498700F0"/>
    <w:rsid w:val="49AB00B4"/>
    <w:rsid w:val="49FD4A73"/>
    <w:rsid w:val="4A093AAF"/>
    <w:rsid w:val="4A3D7A5A"/>
    <w:rsid w:val="4A4243F0"/>
    <w:rsid w:val="4AC7211E"/>
    <w:rsid w:val="4AFE326E"/>
    <w:rsid w:val="4BB60FCD"/>
    <w:rsid w:val="4BB63A1B"/>
    <w:rsid w:val="4BD95ABB"/>
    <w:rsid w:val="4C10428F"/>
    <w:rsid w:val="4C306BE3"/>
    <w:rsid w:val="4C8D6A46"/>
    <w:rsid w:val="4DA7667B"/>
    <w:rsid w:val="4DAD0D23"/>
    <w:rsid w:val="4DCA7C0C"/>
    <w:rsid w:val="4DD25B48"/>
    <w:rsid w:val="4DE2449F"/>
    <w:rsid w:val="4E69016F"/>
    <w:rsid w:val="4EFD443D"/>
    <w:rsid w:val="4F195FF9"/>
    <w:rsid w:val="4F7F023F"/>
    <w:rsid w:val="4FA97F90"/>
    <w:rsid w:val="506151B1"/>
    <w:rsid w:val="50D521AD"/>
    <w:rsid w:val="514B0014"/>
    <w:rsid w:val="5180327A"/>
    <w:rsid w:val="52165593"/>
    <w:rsid w:val="524162C4"/>
    <w:rsid w:val="524642B3"/>
    <w:rsid w:val="530C784E"/>
    <w:rsid w:val="53370692"/>
    <w:rsid w:val="53677E51"/>
    <w:rsid w:val="53B11E10"/>
    <w:rsid w:val="544F34C3"/>
    <w:rsid w:val="5459613F"/>
    <w:rsid w:val="548E0A81"/>
    <w:rsid w:val="54CA0AA9"/>
    <w:rsid w:val="552E31B7"/>
    <w:rsid w:val="555B0462"/>
    <w:rsid w:val="557547C5"/>
    <w:rsid w:val="55A86DD0"/>
    <w:rsid w:val="55EA5788"/>
    <w:rsid w:val="566E5BF4"/>
    <w:rsid w:val="5683587B"/>
    <w:rsid w:val="5699538C"/>
    <w:rsid w:val="56A1616C"/>
    <w:rsid w:val="571A0371"/>
    <w:rsid w:val="575F0EFD"/>
    <w:rsid w:val="577B076B"/>
    <w:rsid w:val="583F3CCF"/>
    <w:rsid w:val="58A53B75"/>
    <w:rsid w:val="58D02D39"/>
    <w:rsid w:val="59036248"/>
    <w:rsid w:val="59193118"/>
    <w:rsid w:val="594F1EAF"/>
    <w:rsid w:val="59C674FB"/>
    <w:rsid w:val="59CC65A5"/>
    <w:rsid w:val="59F856B0"/>
    <w:rsid w:val="5A702373"/>
    <w:rsid w:val="5A7F4A16"/>
    <w:rsid w:val="5B214C4B"/>
    <w:rsid w:val="5B8B4EDF"/>
    <w:rsid w:val="5BD8462A"/>
    <w:rsid w:val="5BE07737"/>
    <w:rsid w:val="5C252EE1"/>
    <w:rsid w:val="5C480E38"/>
    <w:rsid w:val="5CC85FC5"/>
    <w:rsid w:val="5D7E0072"/>
    <w:rsid w:val="5D816151"/>
    <w:rsid w:val="5EC32E0F"/>
    <w:rsid w:val="5EC415A8"/>
    <w:rsid w:val="5F276DA9"/>
    <w:rsid w:val="5F675708"/>
    <w:rsid w:val="5FEA46E0"/>
    <w:rsid w:val="5FF24416"/>
    <w:rsid w:val="60AA0540"/>
    <w:rsid w:val="61052672"/>
    <w:rsid w:val="613F394C"/>
    <w:rsid w:val="615136BB"/>
    <w:rsid w:val="61A00737"/>
    <w:rsid w:val="628D11D3"/>
    <w:rsid w:val="62EC6DA6"/>
    <w:rsid w:val="637660E4"/>
    <w:rsid w:val="639554A5"/>
    <w:rsid w:val="63A9658E"/>
    <w:rsid w:val="63C10FB8"/>
    <w:rsid w:val="63FC0596"/>
    <w:rsid w:val="646A5DEF"/>
    <w:rsid w:val="64822C81"/>
    <w:rsid w:val="64AC114E"/>
    <w:rsid w:val="64F16297"/>
    <w:rsid w:val="6506448B"/>
    <w:rsid w:val="6523167D"/>
    <w:rsid w:val="653D69A4"/>
    <w:rsid w:val="65BF03BD"/>
    <w:rsid w:val="65E9543A"/>
    <w:rsid w:val="65FF6A62"/>
    <w:rsid w:val="667322A4"/>
    <w:rsid w:val="6712775C"/>
    <w:rsid w:val="672F61F4"/>
    <w:rsid w:val="67346724"/>
    <w:rsid w:val="678A0557"/>
    <w:rsid w:val="68092C9C"/>
    <w:rsid w:val="680D31CB"/>
    <w:rsid w:val="685B3008"/>
    <w:rsid w:val="689C2C37"/>
    <w:rsid w:val="69041091"/>
    <w:rsid w:val="6A441C65"/>
    <w:rsid w:val="6A616E4C"/>
    <w:rsid w:val="6AA9520C"/>
    <w:rsid w:val="6B2B3634"/>
    <w:rsid w:val="6BD10A4D"/>
    <w:rsid w:val="6BDA756E"/>
    <w:rsid w:val="6CAE465D"/>
    <w:rsid w:val="6CC62828"/>
    <w:rsid w:val="6CCA0AD6"/>
    <w:rsid w:val="6D0931DE"/>
    <w:rsid w:val="6D0D69DA"/>
    <w:rsid w:val="6D1D4A77"/>
    <w:rsid w:val="6D503E66"/>
    <w:rsid w:val="6E5B4E94"/>
    <w:rsid w:val="6F123AC7"/>
    <w:rsid w:val="6F1C418A"/>
    <w:rsid w:val="6F655367"/>
    <w:rsid w:val="701C75B8"/>
    <w:rsid w:val="701C77FC"/>
    <w:rsid w:val="70E75BC9"/>
    <w:rsid w:val="710014B7"/>
    <w:rsid w:val="715E396F"/>
    <w:rsid w:val="71E72C94"/>
    <w:rsid w:val="720D543A"/>
    <w:rsid w:val="723125E4"/>
    <w:rsid w:val="723C2892"/>
    <w:rsid w:val="723F30C3"/>
    <w:rsid w:val="72617EFA"/>
    <w:rsid w:val="728E3DA6"/>
    <w:rsid w:val="72DA6836"/>
    <w:rsid w:val="72F46EC1"/>
    <w:rsid w:val="732A752E"/>
    <w:rsid w:val="737879F1"/>
    <w:rsid w:val="7387235F"/>
    <w:rsid w:val="73915642"/>
    <w:rsid w:val="73F640ED"/>
    <w:rsid w:val="740C2DE4"/>
    <w:rsid w:val="747619DF"/>
    <w:rsid w:val="77361223"/>
    <w:rsid w:val="78D270D7"/>
    <w:rsid w:val="78E3129B"/>
    <w:rsid w:val="7A3632EF"/>
    <w:rsid w:val="7A9B5C8E"/>
    <w:rsid w:val="7AB5465D"/>
    <w:rsid w:val="7B0063EF"/>
    <w:rsid w:val="7BF65694"/>
    <w:rsid w:val="7C0D3036"/>
    <w:rsid w:val="7C2330CA"/>
    <w:rsid w:val="7C58454B"/>
    <w:rsid w:val="7C6333F8"/>
    <w:rsid w:val="7CB63D1B"/>
    <w:rsid w:val="7CD16F56"/>
    <w:rsid w:val="7CE22A42"/>
    <w:rsid w:val="7DA37E53"/>
    <w:rsid w:val="7DBB2757"/>
    <w:rsid w:val="7DCD1C61"/>
    <w:rsid w:val="7DD06266"/>
    <w:rsid w:val="7DEC2F26"/>
    <w:rsid w:val="7E5B17FD"/>
    <w:rsid w:val="7E6F077A"/>
    <w:rsid w:val="7ED370B5"/>
    <w:rsid w:val="7F063F6D"/>
    <w:rsid w:val="7F115287"/>
    <w:rsid w:val="7F47795F"/>
    <w:rsid w:val="7F700247"/>
    <w:rsid w:val="7F9D12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both"/>
    </w:pPr>
    <w:rPr>
      <w:rFonts w:eastAsia="方正仿宋_GB2312" w:asciiTheme="minorAscii" w:hAnsiTheme="minorAscii" w:cstheme="minorBidi"/>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eastAsia="方正小标宋简体"/>
      <w:kern w:val="44"/>
      <w:sz w:val="44"/>
    </w:rPr>
  </w:style>
  <w:style w:type="paragraph" w:styleId="3">
    <w:name w:val="heading 2"/>
    <w:basedOn w:val="1"/>
    <w:next w:val="1"/>
    <w:qFormat/>
    <w:uiPriority w:val="0"/>
    <w:pPr>
      <w:keepNext/>
      <w:keepLines/>
      <w:numPr>
        <w:ilvl w:val="1"/>
        <w:numId w:val="1"/>
      </w:numPr>
      <w:spacing w:before="260" w:after="260" w:line="415" w:lineRule="auto"/>
      <w:outlineLvl w:val="1"/>
    </w:pPr>
    <w:rPr>
      <w:rFonts w:ascii="Arial" w:hAnsi="Arial" w:eastAsia="黑体"/>
      <w:b/>
      <w:bCs/>
      <w:kern w:val="0"/>
      <w:sz w:val="32"/>
      <w:szCs w:val="32"/>
    </w:rPr>
  </w:style>
  <w:style w:type="paragraph" w:styleId="4">
    <w:name w:val="heading 3"/>
    <w:basedOn w:val="1"/>
    <w:next w:val="1"/>
    <w:qFormat/>
    <w:uiPriority w:val="0"/>
    <w:pPr>
      <w:keepNext/>
      <w:keepLines/>
      <w:spacing w:before="260" w:after="260" w:line="413" w:lineRule="auto"/>
      <w:outlineLvl w:val="2"/>
    </w:pPr>
    <w:rPr>
      <w:b/>
      <w:bCs/>
      <w:kern w:val="0"/>
      <w:sz w:val="32"/>
      <w:szCs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annotation text"/>
    <w:basedOn w:val="1"/>
    <w:next w:val="1"/>
    <w:qFormat/>
    <w:uiPriority w:val="0"/>
    <w:pPr>
      <w:jc w:val="left"/>
    </w:pPr>
  </w:style>
  <w:style w:type="paragraph" w:styleId="6">
    <w:name w:val="Body Text"/>
    <w:basedOn w:val="1"/>
    <w:next w:val="1"/>
    <w:unhideWhenUsed/>
    <w:qFormat/>
    <w:uiPriority w:val="99"/>
    <w:pPr>
      <w:spacing w:after="120"/>
    </w:pPr>
  </w:style>
  <w:style w:type="paragraph" w:styleId="7">
    <w:name w:val="Body Text Indent"/>
    <w:basedOn w:val="1"/>
    <w:unhideWhenUsed/>
    <w:qFormat/>
    <w:uiPriority w:val="99"/>
    <w:pPr>
      <w:spacing w:after="120"/>
      <w:ind w:left="420" w:leftChars="2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First Indent"/>
    <w:basedOn w:val="6"/>
    <w:next w:val="11"/>
    <w:unhideWhenUsed/>
    <w:qFormat/>
    <w:uiPriority w:val="99"/>
    <w:pPr>
      <w:ind w:firstLine="100" w:firstLineChars="100"/>
    </w:pPr>
  </w:style>
  <w:style w:type="paragraph" w:styleId="11">
    <w:name w:val="Body Text First Indent 2"/>
    <w:basedOn w:val="7"/>
    <w:next w:val="1"/>
    <w:qFormat/>
    <w:uiPriority w:val="0"/>
    <w:pPr>
      <w:spacing w:before="100" w:beforeAutospacing="1" w:after="100" w:afterAutospacing="1"/>
      <w:ind w:firstLine="420" w:firstLineChars="200"/>
    </w:pPr>
    <w:rPr>
      <w:szCs w:val="21"/>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paragraph" w:customStyle="1" w:styleId="16">
    <w:name w:val="表格字体-居中"/>
    <w:basedOn w:val="1"/>
    <w:next w:val="1"/>
    <w:autoRedefine/>
    <w:qFormat/>
    <w:uiPriority w:val="0"/>
    <w:pPr>
      <w:jc w:val="center"/>
    </w:pPr>
    <w:rPr>
      <w:rFonts w:ascii="Calibri" w:hAnsi="Calibri"/>
    </w:rPr>
  </w:style>
  <w:style w:type="paragraph" w:customStyle="1" w:styleId="17">
    <w:name w:val=" Char"/>
    <w:basedOn w:val="1"/>
    <w:unhideWhenUsed/>
    <w:qFormat/>
    <w:uiPriority w:val="0"/>
    <w:pPr>
      <w:spacing w:beforeLines="0" w:afterLines="0"/>
    </w:pPr>
    <w:rPr>
      <w:rFonts w:hint="default"/>
      <w:sz w:val="21"/>
    </w:rPr>
  </w:style>
  <w:style w:type="character" w:customStyle="1" w:styleId="18">
    <w:name w:val="any"/>
    <w:basedOn w:val="14"/>
    <w:qFormat/>
    <w:uiPriority w:val="0"/>
  </w:style>
  <w:style w:type="paragraph" w:customStyle="1" w:styleId="19">
    <w:name w:val="p"/>
    <w:basedOn w:val="1"/>
    <w:qFormat/>
    <w:uiPriority w:val="0"/>
    <w:pPr>
      <w:pBdr>
        <w:top w:val="none" w:color="auto" w:sz="0" w:space="0"/>
        <w:left w:val="none" w:color="auto" w:sz="0" w:space="0"/>
        <w:bottom w:val="none" w:color="auto" w:sz="0" w:space="0"/>
        <w:right w:val="none" w:color="auto" w:sz="0" w:space="0"/>
      </w:pBdr>
      <w:spacing w:line="390" w:lineRule="atLeast"/>
      <w:ind w:firstLine="420"/>
    </w:pPr>
  </w:style>
  <w:style w:type="paragraph" w:customStyle="1" w:styleId="20">
    <w:name w:val="promulgatetitle"/>
    <w:basedOn w:val="1"/>
    <w:qFormat/>
    <w:uiPriority w:val="0"/>
    <w:pPr>
      <w:jc w:val="center"/>
    </w:pPr>
    <w:rPr>
      <w:b/>
      <w:bCs/>
      <w:vanish/>
    </w:rPr>
  </w:style>
  <w:style w:type="paragraph" w:customStyle="1" w:styleId="21">
    <w:name w:val="promulgatesubtitle"/>
    <w:basedOn w:val="1"/>
    <w:qFormat/>
    <w:uiPriority w:val="0"/>
    <w:pPr>
      <w:jc w:val="center"/>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31a79198-130f-42ae-bb67-9453e8de9a3a</errorID>
      <errorWord>计</errorWord>
      <group>L1_Word</group>
      <groupName>字词问题</groupName>
      <ability>L2_Typo</ability>
      <abilityName>字词错误</abilityName>
      <candidateList>
        <item>计等</item>
      </candidateList>
      <explain/>
      <paraID>6DD70597</paraID>
      <start>22</start>
      <end>23</end>
      <status>unmodified</status>
      <modifiedWord/>
      <trackRevisions>false</trackRevisions>
    </reviewItem>
    <reviewItem>
      <errorID>1905c8f2-92e9-4656-841f-590d523e183b</errorID>
      <errorWord>计</errorWord>
      <group>L1_Word</group>
      <groupName>字词问题</groupName>
      <ability>L2_Typo</ability>
      <abilityName>字词错误</abilityName>
      <candidateList>
        <item>计等</item>
      </candidateList>
      <explain/>
      <paraID>2C6EDC5A</paraID>
      <start>22</start>
      <end>23</end>
      <status>unmodified</status>
      <modifiedWord/>
      <trackRevisions>false</trackRevisions>
    </reviewItem>
    <reviewItem>
      <errorID>4be6ddb7-ab68-4299-80db-f2f714014fe0</errorID>
      <errorWord>2026年01月01日</errorWord>
      <group>L1_Knowledge</group>
      <groupName>知识性问题</groupName>
      <ability>L2_Time</ability>
      <abilityName>日期时间</abilityName>
      <candidateList>
        <item>2026年1月1日</item>
      </candidateList>
      <explain>根据日常书写习惯，月份和日期一般会省略前导零。</explain>
      <paraID>7D578571</paraID>
      <start>99</start>
      <end>110</end>
      <status>unmodified</status>
      <modifiedWord/>
      <trackRevisions>false</trackRevisions>
    </reviewItem>
    <reviewItem>
      <errorID>029c259f-6612-403a-886d-db6a1a7f6422</errorID>
      <errorWord>收到</errorWord>
      <group>L1_Word</group>
      <groupName>字词问题</groupName>
      <ability>L2_Typo</ability>
      <abilityName>字词错误</abilityName>
      <candidateList>
        <item>受到</item>
      </candidateList>
      <explain/>
      <paraID>66660D38</paraID>
      <start>68</start>
      <end>70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b97584-a4df-4b45-8c9d-bbf95ccc382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1637</Words>
  <Characters>1716</Characters>
  <Lines>0</Lines>
  <Paragraphs>0</Paragraphs>
  <TotalTime>58</TotalTime>
  <ScaleCrop>false</ScaleCrop>
  <LinksUpToDate>false</LinksUpToDate>
  <CharactersWithSpaces>1758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2026-08-04T02:36:00Z</dcterms:created>
  <dc:creator>12147</dc:creator>
  <cp:lastModifiedBy>何航</cp:lastModifiedBy>
  <cp:lastPrinted>2026-08-07T02:32:00Z</cp:lastPrinted>
  <dcterms:modified xsi:type="dcterms:W3CDTF">2026-10-22T07:06:48Z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eyJoZGlkIjoiYjkwMjY1NTZhZmIwNWYwNTFmMzI3NjUxNjFjYzNjNWYiLCJ1c2VySWQiOiIxMTIwMzQ5Mjg0In0=</vt:lpwstr>
  </property>
  <property fmtid="{D5CDD505-2E9C-101B-9397-08002B2CF9AE}" pid="4" name="ICV">
    <vt:lpwstr>7FB96CCD43A14DED96DE56766DCB10C7_13</vt:lpwstr>
  </property>
</Properties>
</file>