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98EA2">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0F377EC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110千伏安全工器具校验项目</w:t>
      </w:r>
      <w:r>
        <w:rPr>
          <w:rFonts w:hint="eastAsia" w:ascii="方正小标宋简体" w:hAnsi="方正小标宋简体" w:eastAsia="方正小标宋简体" w:cs="方正小标宋简体"/>
          <w:sz w:val="44"/>
          <w:szCs w:val="44"/>
          <w:lang w:val="en-US" w:eastAsia="zh-CN"/>
        </w:rPr>
        <w:t>采购比选</w:t>
      </w:r>
    </w:p>
    <w:p w14:paraId="7F62BBA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综合评分办法</w:t>
      </w:r>
    </w:p>
    <w:p w14:paraId="0FD1620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一、资格性审查</w:t>
      </w:r>
    </w:p>
    <w:p w14:paraId="4127B43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所有参选单位须先通过资格性审查，全部满足以下条件方可进入后续评分环节：</w:t>
      </w:r>
    </w:p>
    <w:p w14:paraId="2E0B6CB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楷体" w:hAnsi="楷体" w:eastAsia="楷体" w:cs="楷体"/>
          <w:sz w:val="32"/>
          <w:szCs w:val="32"/>
          <w:highlight w:val="none"/>
          <w:lang w:eastAsia="zh-CN"/>
        </w:rPr>
      </w:pPr>
      <w:r>
        <w:rPr>
          <w:rFonts w:hint="eastAsia" w:ascii="楷体" w:hAnsi="楷体" w:eastAsia="楷体" w:cs="楷体"/>
          <w:sz w:val="32"/>
          <w:szCs w:val="32"/>
          <w:highlight w:val="none"/>
          <w:lang w:eastAsia="zh-CN"/>
        </w:rPr>
        <w:t>（一）</w:t>
      </w:r>
      <w:r>
        <w:rPr>
          <w:rFonts w:hint="eastAsia" w:ascii="楷体" w:hAnsi="楷体" w:eastAsia="楷体" w:cs="楷体"/>
          <w:sz w:val="32"/>
          <w:szCs w:val="32"/>
          <w:highlight w:val="none"/>
        </w:rPr>
        <w:t>资质要求</w:t>
      </w:r>
    </w:p>
    <w:p w14:paraId="4743F80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1.响应人应具有独立的法人资质及有效的企业法人营业执照</w:t>
      </w:r>
      <w:r>
        <w:rPr>
          <w:rFonts w:hint="eastAsia" w:ascii="仿宋_GB2312" w:hAnsi="仿宋_GB2312" w:eastAsia="仿宋_GB2312" w:cs="仿宋_GB2312"/>
          <w:sz w:val="32"/>
          <w:szCs w:val="32"/>
          <w:highlight w:val="none"/>
          <w:lang w:eastAsia="zh-CN"/>
        </w:rPr>
        <w:t>；</w:t>
      </w:r>
    </w:p>
    <w:p w14:paraId="0AD484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2.响应人须持有国家市场监督管理总局或各省（自治区、直辖市）市场监督管理局颁发的有效检验检测机构资质认定证书（CMA），证书在有效期内，拟承担检测工作内容在其资质认定能力附表范围内。</w:t>
      </w:r>
    </w:p>
    <w:p w14:paraId="4BB2A51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3.响应人须具备中国合格评定国家认可委员会（CNAS）核发的实验室认可证书，证书在有效期内，拟承担检测工作内容在其认可的能力范围之内。</w:t>
      </w:r>
    </w:p>
    <w:p w14:paraId="5993DB9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lang w:val="en-US" w:eastAsia="zh-CN"/>
        </w:rPr>
        <w:t>（二）信誉要求</w:t>
      </w:r>
    </w:p>
    <w:p w14:paraId="39DF3A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1.供应商应提供中国政府采购网网站查询截图，证明供应商及法定代表人未被列入政府采购严重违法失信行为记录名单。</w:t>
      </w:r>
    </w:p>
    <w:p w14:paraId="57F75F4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2.供应商应提供信用中国查询截图（未被列入严重失信主体名单），或国家企业信用信息公示系统查询截图（未被列入严重违法失信名单），二者提供其一即可。</w:t>
      </w:r>
    </w:p>
    <w:p w14:paraId="41D7C95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3.对于供应商查询过程中输入信息或查询路径不准确等的，可由采购人在评审会议当天进行查询复核并留档，以查询复核结果为准。</w:t>
      </w:r>
    </w:p>
    <w:p w14:paraId="5C9AFB6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本项目采取资格后审，资格审查不合格的供应商的响应文件将按无效标处理。</w:t>
      </w:r>
    </w:p>
    <w:p w14:paraId="39008C21">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评分因素及标准</w:t>
      </w:r>
    </w:p>
    <w:p w14:paraId="55D0596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本次比选实行百分制综合评分，总分100分，</w:t>
      </w:r>
      <w:r>
        <w:rPr>
          <w:rFonts w:hint="eastAsia" w:ascii="仿宋_GB2312" w:hAnsi="仿宋_GB2312" w:eastAsia="仿宋_GB2312" w:cs="仿宋_GB2312"/>
          <w:sz w:val="32"/>
          <w:szCs w:val="32"/>
          <w:highlight w:val="none"/>
          <w:lang w:val="en-US" w:eastAsia="zh-CN"/>
        </w:rPr>
        <w:t>具体如下：</w:t>
      </w:r>
    </w:p>
    <w:tbl>
      <w:tblPr>
        <w:tblStyle w:val="2"/>
        <w:tblpPr w:leftFromText="180" w:rightFromText="180" w:vertAnchor="text" w:horzAnchor="page" w:tblpXSpec="center" w:tblpY="635"/>
        <w:tblOverlap w:val="never"/>
        <w:tblW w:w="10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55"/>
        <w:gridCol w:w="744"/>
        <w:gridCol w:w="6828"/>
        <w:gridCol w:w="919"/>
        <w:gridCol w:w="863"/>
      </w:tblGrid>
      <w:tr w14:paraId="227E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94" w:hRule="atLeast"/>
          <w:tblHeader/>
          <w:jc w:val="center"/>
        </w:trPr>
        <w:tc>
          <w:tcPr>
            <w:tcW w:w="855" w:type="dxa"/>
            <w:shd w:val="clear" w:color="auto" w:fill="auto"/>
            <w:tcMar>
              <w:top w:w="120" w:type="dxa"/>
              <w:left w:w="120" w:type="dxa"/>
              <w:bottom w:w="120" w:type="dxa"/>
              <w:right w:w="120" w:type="dxa"/>
            </w:tcMar>
            <w:vAlign w:val="center"/>
          </w:tcPr>
          <w:p w14:paraId="20379F9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caps w:val="0"/>
                <w:spacing w:val="0"/>
                <w:kern w:val="0"/>
                <w:sz w:val="24"/>
                <w:szCs w:val="24"/>
                <w:lang w:val="en-US" w:eastAsia="zh-CN" w:bidi="ar"/>
              </w:rPr>
            </w:pPr>
            <w:r>
              <w:rPr>
                <w:rFonts w:hint="eastAsia" w:ascii="黑体" w:hAnsi="黑体" w:eastAsia="黑体" w:cs="黑体"/>
                <w:caps w:val="0"/>
                <w:spacing w:val="0"/>
                <w:kern w:val="0"/>
                <w:sz w:val="24"/>
                <w:szCs w:val="24"/>
                <w:lang w:val="en-US" w:eastAsia="zh-CN" w:bidi="ar"/>
              </w:rPr>
              <w:t>序号</w:t>
            </w:r>
          </w:p>
        </w:tc>
        <w:tc>
          <w:tcPr>
            <w:tcW w:w="744" w:type="dxa"/>
            <w:shd w:val="clear" w:color="auto" w:fill="auto"/>
            <w:tcMar>
              <w:top w:w="120" w:type="dxa"/>
              <w:left w:w="120" w:type="dxa"/>
              <w:bottom w:w="120" w:type="dxa"/>
              <w:right w:w="120" w:type="dxa"/>
            </w:tcMar>
            <w:vAlign w:val="center"/>
          </w:tcPr>
          <w:p w14:paraId="55BF702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caps w:val="0"/>
                <w:spacing w:val="0"/>
                <w:kern w:val="0"/>
                <w:sz w:val="24"/>
                <w:szCs w:val="24"/>
                <w:lang w:val="en-US" w:eastAsia="zh-CN" w:bidi="ar"/>
              </w:rPr>
            </w:pPr>
            <w:r>
              <w:rPr>
                <w:rFonts w:hint="eastAsia" w:ascii="黑体" w:hAnsi="黑体" w:eastAsia="黑体" w:cs="黑体"/>
                <w:caps w:val="0"/>
                <w:spacing w:val="0"/>
                <w:kern w:val="0"/>
                <w:sz w:val="24"/>
                <w:szCs w:val="24"/>
                <w:lang w:val="en-US" w:eastAsia="zh-CN" w:bidi="ar"/>
              </w:rPr>
              <w:t>评审项目</w:t>
            </w:r>
          </w:p>
        </w:tc>
        <w:tc>
          <w:tcPr>
            <w:tcW w:w="6828" w:type="dxa"/>
            <w:shd w:val="clear" w:color="auto" w:fill="auto"/>
            <w:tcMar>
              <w:top w:w="120" w:type="dxa"/>
              <w:left w:w="120" w:type="dxa"/>
              <w:bottom w:w="120" w:type="dxa"/>
              <w:right w:w="120" w:type="dxa"/>
            </w:tcMar>
            <w:vAlign w:val="center"/>
          </w:tcPr>
          <w:p w14:paraId="387D8E8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caps w:val="0"/>
                <w:spacing w:val="0"/>
                <w:kern w:val="0"/>
                <w:sz w:val="24"/>
                <w:szCs w:val="24"/>
                <w:lang w:val="en-US" w:eastAsia="zh-CN" w:bidi="ar"/>
              </w:rPr>
            </w:pPr>
            <w:r>
              <w:rPr>
                <w:rFonts w:hint="eastAsia" w:ascii="黑体" w:hAnsi="黑体" w:eastAsia="黑体" w:cs="黑体"/>
                <w:caps w:val="0"/>
                <w:spacing w:val="0"/>
                <w:kern w:val="0"/>
                <w:sz w:val="24"/>
                <w:szCs w:val="24"/>
                <w:lang w:val="en-US" w:eastAsia="zh-CN" w:bidi="ar"/>
              </w:rPr>
              <w:t>评分标准</w:t>
            </w:r>
          </w:p>
        </w:tc>
        <w:tc>
          <w:tcPr>
            <w:tcW w:w="919" w:type="dxa"/>
            <w:shd w:val="clear" w:color="auto" w:fill="auto"/>
            <w:tcMar>
              <w:top w:w="120" w:type="dxa"/>
              <w:left w:w="120" w:type="dxa"/>
              <w:bottom w:w="120" w:type="dxa"/>
              <w:right w:w="120" w:type="dxa"/>
            </w:tcMar>
            <w:vAlign w:val="center"/>
          </w:tcPr>
          <w:p w14:paraId="6F102DB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caps w:val="0"/>
                <w:spacing w:val="0"/>
                <w:kern w:val="0"/>
                <w:sz w:val="24"/>
                <w:szCs w:val="24"/>
                <w:lang w:val="en-US" w:eastAsia="zh-CN" w:bidi="ar"/>
              </w:rPr>
            </w:pPr>
            <w:r>
              <w:rPr>
                <w:rFonts w:hint="eastAsia" w:ascii="黑体" w:hAnsi="黑体" w:eastAsia="黑体" w:cs="黑体"/>
                <w:caps w:val="0"/>
                <w:spacing w:val="0"/>
                <w:kern w:val="0"/>
                <w:sz w:val="24"/>
                <w:szCs w:val="24"/>
                <w:lang w:val="en-US" w:eastAsia="zh-CN" w:bidi="ar"/>
              </w:rPr>
              <w:t>满分</w:t>
            </w:r>
          </w:p>
        </w:tc>
        <w:tc>
          <w:tcPr>
            <w:tcW w:w="863" w:type="dxa"/>
            <w:shd w:val="clear" w:color="auto" w:fill="auto"/>
            <w:tcMar>
              <w:top w:w="120" w:type="dxa"/>
              <w:left w:w="120" w:type="dxa"/>
              <w:bottom w:w="120" w:type="dxa"/>
              <w:right w:w="120" w:type="dxa"/>
            </w:tcMar>
            <w:vAlign w:val="center"/>
          </w:tcPr>
          <w:p w14:paraId="3E1D987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caps w:val="0"/>
                <w:spacing w:val="0"/>
                <w:kern w:val="0"/>
                <w:sz w:val="24"/>
                <w:szCs w:val="24"/>
                <w:lang w:val="en-US" w:eastAsia="zh-CN" w:bidi="ar"/>
              </w:rPr>
            </w:pPr>
            <w:r>
              <w:rPr>
                <w:rFonts w:hint="eastAsia" w:ascii="黑体" w:hAnsi="黑体" w:eastAsia="黑体" w:cs="黑体"/>
                <w:caps w:val="0"/>
                <w:spacing w:val="0"/>
                <w:kern w:val="0"/>
                <w:sz w:val="24"/>
                <w:szCs w:val="24"/>
                <w:lang w:val="en-US" w:eastAsia="zh-CN" w:bidi="ar"/>
              </w:rPr>
              <w:t>得分</w:t>
            </w:r>
          </w:p>
        </w:tc>
      </w:tr>
      <w:tr w14:paraId="2ACA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855" w:type="dxa"/>
            <w:shd w:val="clear" w:color="auto" w:fill="auto"/>
            <w:tcMar>
              <w:top w:w="120" w:type="dxa"/>
              <w:left w:w="120" w:type="dxa"/>
              <w:bottom w:w="120" w:type="dxa"/>
              <w:right w:w="120" w:type="dxa"/>
            </w:tcMar>
            <w:vAlign w:val="center"/>
          </w:tcPr>
          <w:p w14:paraId="0E290D3A">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heme="minorHAnsi" w:hAnsiTheme="minorHAnsi" w:eastAsiaTheme="minorEastAsia" w:cstheme="minorBidi"/>
                <w:caps w:val="0"/>
                <w:spacing w:val="0"/>
                <w:kern w:val="2"/>
                <w:sz w:val="21"/>
                <w:szCs w:val="24"/>
                <w:lang w:val="en-US" w:eastAsia="zh-CN" w:bidi="ar-SA"/>
              </w:rPr>
            </w:pPr>
            <w:r>
              <w:rPr>
                <w:rFonts w:hint="eastAsia" w:cstheme="minorBidi"/>
                <w:caps w:val="0"/>
                <w:spacing w:val="0"/>
                <w:kern w:val="2"/>
                <w:sz w:val="21"/>
                <w:szCs w:val="24"/>
                <w:lang w:val="en-US" w:eastAsia="zh-CN" w:bidi="ar-SA"/>
              </w:rPr>
              <w:t>1</w:t>
            </w:r>
          </w:p>
        </w:tc>
        <w:tc>
          <w:tcPr>
            <w:tcW w:w="744" w:type="dxa"/>
            <w:shd w:val="clear" w:color="auto" w:fill="auto"/>
            <w:tcMar>
              <w:top w:w="120" w:type="dxa"/>
              <w:left w:w="120" w:type="dxa"/>
              <w:bottom w:w="120" w:type="dxa"/>
              <w:right w:w="120" w:type="dxa"/>
            </w:tcMar>
            <w:vAlign w:val="center"/>
          </w:tcPr>
          <w:p w14:paraId="75E8C636">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lang w:val="en-US" w:eastAsia="zh-CN" w:bidi="ar"/>
              </w:rPr>
              <w:t>人员配置</w:t>
            </w:r>
          </w:p>
        </w:tc>
        <w:tc>
          <w:tcPr>
            <w:tcW w:w="6828" w:type="dxa"/>
            <w:shd w:val="clear" w:color="auto" w:fill="auto"/>
            <w:tcMar>
              <w:top w:w="120" w:type="dxa"/>
              <w:left w:w="120" w:type="dxa"/>
              <w:bottom w:w="120" w:type="dxa"/>
              <w:right w:w="120" w:type="dxa"/>
            </w:tcMar>
            <w:vAlign w:val="center"/>
          </w:tcPr>
          <w:p w14:paraId="720A5BB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highlight w:val="none"/>
                <w:lang w:val="en-US" w:eastAsia="zh-CN" w:bidi="ar"/>
              </w:rPr>
              <w:t>配备不少于1名电力工程相关专业</w:t>
            </w:r>
            <w:r>
              <w:rPr>
                <w:rFonts w:hint="eastAsia" w:ascii="宋体" w:hAnsi="宋体" w:eastAsia="宋体" w:cs="宋体"/>
                <w:caps w:val="0"/>
                <w:spacing w:val="0"/>
                <w:kern w:val="0"/>
                <w:sz w:val="24"/>
                <w:szCs w:val="24"/>
                <w:highlight w:val="none"/>
                <w:lang w:val="en-US" w:eastAsia="zh-CN" w:bidi="ar"/>
              </w:rPr>
              <w:t>中级及以上</w:t>
            </w:r>
            <w:r>
              <w:rPr>
                <w:rFonts w:ascii="宋体" w:hAnsi="宋体" w:eastAsia="宋体" w:cs="宋体"/>
                <w:caps w:val="0"/>
                <w:spacing w:val="0"/>
                <w:kern w:val="0"/>
                <w:sz w:val="24"/>
                <w:szCs w:val="24"/>
                <w:highlight w:val="none"/>
                <w:lang w:val="en-US" w:eastAsia="zh-CN" w:bidi="ar"/>
              </w:rPr>
              <w:t>职称项目负责人，配备不少于</w:t>
            </w:r>
            <w:r>
              <w:rPr>
                <w:rFonts w:hint="eastAsia" w:ascii="宋体" w:hAnsi="宋体" w:eastAsia="宋体" w:cs="宋体"/>
                <w:caps w:val="0"/>
                <w:spacing w:val="0"/>
                <w:kern w:val="0"/>
                <w:sz w:val="24"/>
                <w:szCs w:val="24"/>
                <w:highlight w:val="none"/>
                <w:lang w:val="en-US" w:eastAsia="zh-CN" w:bidi="ar"/>
              </w:rPr>
              <w:t>4</w:t>
            </w:r>
            <w:r>
              <w:rPr>
                <w:rFonts w:ascii="宋体" w:hAnsi="宋体" w:eastAsia="宋体" w:cs="宋体"/>
                <w:caps w:val="0"/>
                <w:spacing w:val="0"/>
                <w:kern w:val="0"/>
                <w:sz w:val="24"/>
                <w:szCs w:val="24"/>
                <w:highlight w:val="none"/>
                <w:lang w:val="en-US" w:eastAsia="zh-CN" w:bidi="ar"/>
              </w:rPr>
              <w:t>名在有效期内特种作业操作证（电工作业）校验技术人员，其中高压电工作业不少于2名、电气试验作业不少于</w:t>
            </w:r>
            <w:r>
              <w:rPr>
                <w:rFonts w:hint="eastAsia" w:ascii="宋体" w:hAnsi="宋体" w:eastAsia="宋体" w:cs="宋体"/>
                <w:caps w:val="0"/>
                <w:spacing w:val="0"/>
                <w:kern w:val="0"/>
                <w:sz w:val="24"/>
                <w:szCs w:val="24"/>
                <w:highlight w:val="none"/>
                <w:lang w:val="en-US" w:eastAsia="zh-CN" w:bidi="ar"/>
              </w:rPr>
              <w:t>1</w:t>
            </w:r>
            <w:r>
              <w:rPr>
                <w:rFonts w:ascii="宋体" w:hAnsi="宋体" w:eastAsia="宋体" w:cs="宋体"/>
                <w:caps w:val="0"/>
                <w:spacing w:val="0"/>
                <w:kern w:val="0"/>
                <w:sz w:val="24"/>
                <w:szCs w:val="24"/>
                <w:highlight w:val="none"/>
                <w:lang w:val="en-US" w:eastAsia="zh-CN" w:bidi="ar"/>
              </w:rPr>
              <w:t>名</w:t>
            </w:r>
            <w:r>
              <w:rPr>
                <w:rFonts w:hint="eastAsia" w:ascii="宋体" w:hAnsi="宋体" w:eastAsia="宋体" w:cs="宋体"/>
                <w:caps w:val="0"/>
                <w:spacing w:val="0"/>
                <w:kern w:val="0"/>
                <w:sz w:val="24"/>
                <w:szCs w:val="24"/>
                <w:highlight w:val="none"/>
                <w:lang w:val="en-US" w:eastAsia="zh-CN" w:bidi="ar"/>
              </w:rPr>
              <w:t>、注册计量师不少于1人</w:t>
            </w:r>
            <w:r>
              <w:rPr>
                <w:rFonts w:ascii="宋体" w:hAnsi="宋体" w:eastAsia="宋体" w:cs="宋体"/>
                <w:caps w:val="0"/>
                <w:spacing w:val="0"/>
                <w:kern w:val="0"/>
                <w:sz w:val="24"/>
                <w:szCs w:val="24"/>
                <w:highlight w:val="none"/>
                <w:lang w:val="en-US" w:eastAsia="zh-CN" w:bidi="ar"/>
              </w:rPr>
              <w:t>，符合人员条件的，每人得</w:t>
            </w:r>
            <w:r>
              <w:rPr>
                <w:rFonts w:hint="eastAsia" w:ascii="宋体" w:hAnsi="宋体" w:eastAsia="宋体" w:cs="宋体"/>
                <w:caps w:val="0"/>
                <w:spacing w:val="0"/>
                <w:kern w:val="0"/>
                <w:sz w:val="24"/>
                <w:szCs w:val="24"/>
                <w:highlight w:val="none"/>
                <w:lang w:val="en-US" w:eastAsia="zh-CN" w:bidi="ar"/>
              </w:rPr>
              <w:t>2</w:t>
            </w:r>
            <w:r>
              <w:rPr>
                <w:rFonts w:ascii="宋体" w:hAnsi="宋体" w:eastAsia="宋体" w:cs="宋体"/>
                <w:caps w:val="0"/>
                <w:spacing w:val="0"/>
                <w:kern w:val="0"/>
                <w:sz w:val="24"/>
                <w:szCs w:val="24"/>
                <w:highlight w:val="none"/>
                <w:lang w:val="en-US" w:eastAsia="zh-CN" w:bidi="ar"/>
              </w:rPr>
              <w:t>分。本项满分</w:t>
            </w:r>
            <w:r>
              <w:rPr>
                <w:rFonts w:hint="eastAsia" w:ascii="宋体" w:hAnsi="宋体" w:eastAsia="宋体" w:cs="宋体"/>
                <w:caps w:val="0"/>
                <w:spacing w:val="0"/>
                <w:kern w:val="0"/>
                <w:sz w:val="24"/>
                <w:szCs w:val="24"/>
                <w:highlight w:val="none"/>
                <w:lang w:val="en-US" w:eastAsia="zh-CN" w:bidi="ar"/>
              </w:rPr>
              <w:t>10</w:t>
            </w:r>
            <w:r>
              <w:rPr>
                <w:rFonts w:ascii="宋体" w:hAnsi="宋体" w:eastAsia="宋体" w:cs="宋体"/>
                <w:caps w:val="0"/>
                <w:spacing w:val="0"/>
                <w:kern w:val="0"/>
                <w:sz w:val="24"/>
                <w:szCs w:val="24"/>
                <w:highlight w:val="none"/>
                <w:lang w:val="en-US" w:eastAsia="zh-CN" w:bidi="ar"/>
              </w:rPr>
              <w:t>分。</w:t>
            </w:r>
          </w:p>
        </w:tc>
        <w:tc>
          <w:tcPr>
            <w:tcW w:w="919" w:type="dxa"/>
            <w:shd w:val="clear" w:color="auto" w:fill="auto"/>
            <w:tcMar>
              <w:top w:w="120" w:type="dxa"/>
              <w:left w:w="120" w:type="dxa"/>
              <w:bottom w:w="120" w:type="dxa"/>
              <w:right w:w="120" w:type="dxa"/>
            </w:tcMar>
            <w:vAlign w:val="center"/>
          </w:tcPr>
          <w:p w14:paraId="5CEFF40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heme="minorHAnsi" w:hAnsiTheme="minorHAnsi" w:eastAsiaTheme="minorEastAsia" w:cstheme="minorBidi"/>
                <w:caps w:val="0"/>
                <w:spacing w:val="0"/>
                <w:kern w:val="2"/>
                <w:sz w:val="21"/>
                <w:szCs w:val="24"/>
                <w:lang w:val="en-US" w:eastAsia="zh-CN" w:bidi="ar-SA"/>
              </w:rPr>
            </w:pPr>
            <w:r>
              <w:rPr>
                <w:rFonts w:hint="eastAsia" w:ascii="宋体" w:hAnsi="宋体" w:eastAsia="宋体" w:cs="宋体"/>
                <w:caps w:val="0"/>
                <w:spacing w:val="0"/>
                <w:kern w:val="0"/>
                <w:sz w:val="24"/>
                <w:szCs w:val="24"/>
                <w:lang w:val="en-US" w:eastAsia="zh-CN" w:bidi="ar"/>
              </w:rPr>
              <w:t>10</w:t>
            </w:r>
          </w:p>
        </w:tc>
        <w:tc>
          <w:tcPr>
            <w:tcW w:w="863" w:type="dxa"/>
            <w:shd w:val="clear" w:color="auto" w:fill="auto"/>
            <w:tcMar>
              <w:top w:w="120" w:type="dxa"/>
              <w:left w:w="120" w:type="dxa"/>
              <w:bottom w:w="120" w:type="dxa"/>
              <w:right w:w="120" w:type="dxa"/>
            </w:tcMar>
            <w:vAlign w:val="center"/>
          </w:tcPr>
          <w:p w14:paraId="601A23AF">
            <w:pPr>
              <w:keepNext w:val="0"/>
              <w:keepLines w:val="0"/>
              <w:pageBreakBefore w:val="0"/>
              <w:kinsoku/>
              <w:wordWrap/>
              <w:overflowPunct/>
              <w:topLinePunct w:val="0"/>
              <w:autoSpaceDE/>
              <w:autoSpaceDN/>
              <w:bidi w:val="0"/>
              <w:adjustRightInd/>
              <w:snapToGrid w:val="0"/>
              <w:spacing w:line="240" w:lineRule="auto"/>
              <w:jc w:val="left"/>
              <w:textAlignment w:val="auto"/>
              <w:rPr>
                <w:rFonts w:hint="eastAsia" w:ascii="宋体" w:hAnsiTheme="minorHAnsi" w:eastAsiaTheme="minorEastAsia" w:cstheme="minorBidi"/>
                <w:caps w:val="0"/>
                <w:spacing w:val="0"/>
                <w:kern w:val="2"/>
                <w:sz w:val="24"/>
                <w:szCs w:val="24"/>
                <w:lang w:val="en-US" w:eastAsia="zh-CN" w:bidi="ar-SA"/>
              </w:rPr>
            </w:pPr>
          </w:p>
        </w:tc>
      </w:tr>
      <w:tr w14:paraId="1523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55" w:type="dxa"/>
            <w:shd w:val="clear" w:color="auto" w:fill="auto"/>
            <w:tcMar>
              <w:top w:w="120" w:type="dxa"/>
              <w:left w:w="120" w:type="dxa"/>
              <w:bottom w:w="120" w:type="dxa"/>
              <w:right w:w="120" w:type="dxa"/>
            </w:tcMar>
            <w:vAlign w:val="center"/>
          </w:tcPr>
          <w:p w14:paraId="7ACF7D8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asciiTheme="minorHAnsi" w:hAnsiTheme="minorHAnsi" w:eastAsiaTheme="minorEastAsia" w:cstheme="minorBidi"/>
                <w:caps w:val="0"/>
                <w:spacing w:val="0"/>
                <w:kern w:val="2"/>
                <w:sz w:val="21"/>
                <w:szCs w:val="24"/>
                <w:lang w:val="en-US" w:eastAsia="zh-CN" w:bidi="ar-SA"/>
              </w:rPr>
            </w:pPr>
            <w:r>
              <w:rPr>
                <w:rFonts w:hint="eastAsia" w:ascii="宋体" w:hAnsi="宋体" w:eastAsia="宋体" w:cs="宋体"/>
                <w:caps w:val="0"/>
                <w:spacing w:val="0"/>
                <w:kern w:val="0"/>
                <w:sz w:val="24"/>
                <w:szCs w:val="24"/>
                <w:lang w:val="en-US" w:eastAsia="zh-CN" w:bidi="ar"/>
              </w:rPr>
              <w:t>2</w:t>
            </w:r>
          </w:p>
        </w:tc>
        <w:tc>
          <w:tcPr>
            <w:tcW w:w="744" w:type="dxa"/>
            <w:shd w:val="clear" w:color="auto" w:fill="auto"/>
            <w:tcMar>
              <w:top w:w="120" w:type="dxa"/>
              <w:left w:w="120" w:type="dxa"/>
              <w:bottom w:w="120" w:type="dxa"/>
              <w:right w:w="120" w:type="dxa"/>
            </w:tcMar>
            <w:vAlign w:val="center"/>
          </w:tcPr>
          <w:p w14:paraId="764B9EC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lang w:val="en-US" w:eastAsia="zh-CN" w:bidi="ar"/>
              </w:rPr>
              <w:t>技术力量</w:t>
            </w:r>
          </w:p>
        </w:tc>
        <w:tc>
          <w:tcPr>
            <w:tcW w:w="6828" w:type="dxa"/>
            <w:shd w:val="clear" w:color="auto" w:fill="auto"/>
            <w:tcMar>
              <w:top w:w="120" w:type="dxa"/>
              <w:left w:w="120" w:type="dxa"/>
              <w:bottom w:w="120" w:type="dxa"/>
              <w:right w:w="120" w:type="dxa"/>
            </w:tcMar>
            <w:vAlign w:val="center"/>
          </w:tcPr>
          <w:p w14:paraId="389278CD">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lang w:val="en-US" w:eastAsia="zh-CN" w:bidi="ar"/>
              </w:rPr>
              <w:t>自有300kV高压试验室，得</w:t>
            </w:r>
            <w:r>
              <w:rPr>
                <w:rFonts w:hint="eastAsia" w:ascii="宋体" w:hAnsi="宋体" w:eastAsia="宋体" w:cs="宋体"/>
                <w:caps w:val="0"/>
                <w:spacing w:val="0"/>
                <w:kern w:val="0"/>
                <w:sz w:val="24"/>
                <w:szCs w:val="24"/>
                <w:lang w:val="en-US" w:eastAsia="zh-CN" w:bidi="ar"/>
              </w:rPr>
              <w:t>5</w:t>
            </w:r>
            <w:r>
              <w:rPr>
                <w:rFonts w:ascii="宋体" w:hAnsi="宋体" w:eastAsia="宋体" w:cs="宋体"/>
                <w:caps w:val="0"/>
                <w:spacing w:val="0"/>
                <w:kern w:val="0"/>
                <w:sz w:val="24"/>
                <w:szCs w:val="24"/>
                <w:lang w:val="en-US" w:eastAsia="zh-CN" w:bidi="ar"/>
              </w:rPr>
              <w:t>分；自有试验车辆，得5分。本项满分</w:t>
            </w:r>
            <w:r>
              <w:rPr>
                <w:rFonts w:hint="eastAsia" w:ascii="宋体" w:hAnsi="宋体" w:eastAsia="宋体" w:cs="宋体"/>
                <w:caps w:val="0"/>
                <w:spacing w:val="0"/>
                <w:kern w:val="0"/>
                <w:sz w:val="24"/>
                <w:szCs w:val="24"/>
                <w:lang w:val="en-US" w:eastAsia="zh-CN" w:bidi="ar"/>
              </w:rPr>
              <w:t>10</w:t>
            </w:r>
            <w:r>
              <w:rPr>
                <w:rFonts w:ascii="宋体" w:hAnsi="宋体" w:eastAsia="宋体" w:cs="宋体"/>
                <w:caps w:val="0"/>
                <w:spacing w:val="0"/>
                <w:kern w:val="0"/>
                <w:sz w:val="24"/>
                <w:szCs w:val="24"/>
                <w:lang w:val="en-US" w:eastAsia="zh-CN" w:bidi="ar"/>
              </w:rPr>
              <w:t>分。注：需提供试验室实景照片不少于3张；试验车须提供车辆登记证书（大绿本）证明产权归属本单位。</w:t>
            </w:r>
          </w:p>
        </w:tc>
        <w:tc>
          <w:tcPr>
            <w:tcW w:w="919" w:type="dxa"/>
            <w:shd w:val="clear" w:color="auto" w:fill="auto"/>
            <w:tcMar>
              <w:top w:w="120" w:type="dxa"/>
              <w:left w:w="120" w:type="dxa"/>
              <w:bottom w:w="120" w:type="dxa"/>
              <w:right w:w="120" w:type="dxa"/>
            </w:tcMar>
            <w:vAlign w:val="center"/>
          </w:tcPr>
          <w:p w14:paraId="65D9542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heme="minorHAnsi" w:hAnsiTheme="minorHAnsi" w:eastAsiaTheme="minorEastAsia" w:cstheme="minorBidi"/>
                <w:caps w:val="0"/>
                <w:spacing w:val="0"/>
                <w:kern w:val="2"/>
                <w:sz w:val="21"/>
                <w:szCs w:val="24"/>
                <w:lang w:val="en-US" w:eastAsia="zh-CN" w:bidi="ar-SA"/>
              </w:rPr>
            </w:pPr>
            <w:r>
              <w:rPr>
                <w:rFonts w:hint="eastAsia" w:ascii="宋体" w:hAnsi="宋体" w:eastAsia="宋体" w:cs="宋体"/>
                <w:caps w:val="0"/>
                <w:spacing w:val="0"/>
                <w:kern w:val="0"/>
                <w:sz w:val="24"/>
                <w:szCs w:val="24"/>
                <w:lang w:val="en-US" w:eastAsia="zh-CN" w:bidi="ar"/>
              </w:rPr>
              <w:t>10</w:t>
            </w:r>
          </w:p>
        </w:tc>
        <w:tc>
          <w:tcPr>
            <w:tcW w:w="863" w:type="dxa"/>
            <w:shd w:val="clear" w:color="auto" w:fill="auto"/>
            <w:tcMar>
              <w:top w:w="120" w:type="dxa"/>
              <w:left w:w="120" w:type="dxa"/>
              <w:bottom w:w="120" w:type="dxa"/>
              <w:right w:w="120" w:type="dxa"/>
            </w:tcMar>
            <w:vAlign w:val="center"/>
          </w:tcPr>
          <w:p w14:paraId="7527C8C3">
            <w:pPr>
              <w:keepNext w:val="0"/>
              <w:keepLines w:val="0"/>
              <w:pageBreakBefore w:val="0"/>
              <w:kinsoku/>
              <w:wordWrap/>
              <w:overflowPunct/>
              <w:topLinePunct w:val="0"/>
              <w:autoSpaceDE/>
              <w:autoSpaceDN/>
              <w:bidi w:val="0"/>
              <w:adjustRightInd/>
              <w:snapToGrid w:val="0"/>
              <w:spacing w:line="240" w:lineRule="auto"/>
              <w:jc w:val="left"/>
              <w:textAlignment w:val="auto"/>
              <w:rPr>
                <w:rFonts w:hint="eastAsia" w:ascii="宋体" w:hAnsiTheme="minorHAnsi" w:eastAsiaTheme="minorEastAsia" w:cstheme="minorBidi"/>
                <w:caps w:val="0"/>
                <w:spacing w:val="0"/>
                <w:kern w:val="2"/>
                <w:sz w:val="24"/>
                <w:szCs w:val="24"/>
                <w:lang w:val="en-US" w:eastAsia="zh-CN" w:bidi="ar-SA"/>
              </w:rPr>
            </w:pPr>
          </w:p>
        </w:tc>
      </w:tr>
      <w:tr w14:paraId="322EF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55" w:type="dxa"/>
            <w:shd w:val="clear" w:color="auto" w:fill="auto"/>
            <w:tcMar>
              <w:top w:w="120" w:type="dxa"/>
              <w:left w:w="120" w:type="dxa"/>
              <w:bottom w:w="120" w:type="dxa"/>
              <w:right w:w="120" w:type="dxa"/>
            </w:tcMar>
            <w:vAlign w:val="center"/>
          </w:tcPr>
          <w:p w14:paraId="4A63046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asciiTheme="minorHAnsi" w:hAnsiTheme="minorHAnsi" w:eastAsiaTheme="minorEastAsia" w:cstheme="minorBidi"/>
                <w:caps w:val="0"/>
                <w:spacing w:val="0"/>
                <w:kern w:val="2"/>
                <w:sz w:val="21"/>
                <w:szCs w:val="24"/>
                <w:lang w:val="en-US" w:eastAsia="zh-CN" w:bidi="ar-SA"/>
              </w:rPr>
            </w:pPr>
            <w:r>
              <w:rPr>
                <w:rFonts w:hint="eastAsia" w:ascii="宋体" w:hAnsi="宋体" w:eastAsia="宋体" w:cs="宋体"/>
                <w:caps w:val="0"/>
                <w:spacing w:val="0"/>
                <w:kern w:val="0"/>
                <w:sz w:val="24"/>
                <w:szCs w:val="24"/>
                <w:lang w:val="en-US" w:eastAsia="zh-CN" w:bidi="ar"/>
              </w:rPr>
              <w:t>3</w:t>
            </w:r>
          </w:p>
        </w:tc>
        <w:tc>
          <w:tcPr>
            <w:tcW w:w="744" w:type="dxa"/>
            <w:shd w:val="clear" w:color="auto" w:fill="auto"/>
            <w:tcMar>
              <w:top w:w="120" w:type="dxa"/>
              <w:left w:w="120" w:type="dxa"/>
              <w:bottom w:w="120" w:type="dxa"/>
              <w:right w:w="120" w:type="dxa"/>
            </w:tcMar>
            <w:vAlign w:val="center"/>
          </w:tcPr>
          <w:p w14:paraId="1E5AEC77">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lang w:val="en-US" w:eastAsia="zh-CN" w:bidi="ar"/>
              </w:rPr>
              <w:t>业绩</w:t>
            </w:r>
          </w:p>
        </w:tc>
        <w:tc>
          <w:tcPr>
            <w:tcW w:w="6828" w:type="dxa"/>
            <w:shd w:val="clear" w:color="auto" w:fill="auto"/>
            <w:tcMar>
              <w:top w:w="120" w:type="dxa"/>
              <w:left w:w="120" w:type="dxa"/>
              <w:bottom w:w="120" w:type="dxa"/>
              <w:right w:w="120" w:type="dxa"/>
            </w:tcMar>
            <w:vAlign w:val="center"/>
          </w:tcPr>
          <w:p w14:paraId="3F27C1C4">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highlight w:val="none"/>
                <w:lang w:val="en-US" w:eastAsia="zh-CN" w:bidi="ar"/>
              </w:rPr>
              <w:t>提供国网系统安全工器具检测业绩</w:t>
            </w:r>
            <w:r>
              <w:rPr>
                <w:rFonts w:hint="eastAsia" w:ascii="宋体" w:hAnsi="宋体" w:eastAsia="宋体" w:cs="宋体"/>
                <w:caps w:val="0"/>
                <w:spacing w:val="0"/>
                <w:kern w:val="0"/>
                <w:sz w:val="24"/>
                <w:szCs w:val="24"/>
                <w:highlight w:val="none"/>
                <w:lang w:val="en-US" w:eastAsia="zh-CN" w:bidi="ar"/>
              </w:rPr>
              <w:t>证明、</w:t>
            </w:r>
            <w:r>
              <w:rPr>
                <w:rFonts w:ascii="宋体" w:hAnsi="宋体" w:eastAsia="宋体" w:cs="宋体"/>
                <w:caps w:val="0"/>
                <w:spacing w:val="0"/>
                <w:kern w:val="0"/>
                <w:sz w:val="24"/>
                <w:szCs w:val="24"/>
                <w:highlight w:val="none"/>
                <w:lang w:val="en-US" w:eastAsia="zh-CN" w:bidi="ar"/>
              </w:rPr>
              <w:t>合同扫描件</w:t>
            </w:r>
            <w:r>
              <w:rPr>
                <w:rFonts w:hint="eastAsia" w:ascii="宋体" w:hAnsi="宋体" w:eastAsia="宋体" w:cs="宋体"/>
                <w:caps w:val="0"/>
                <w:spacing w:val="0"/>
                <w:kern w:val="0"/>
                <w:sz w:val="24"/>
                <w:szCs w:val="24"/>
                <w:highlight w:val="none"/>
                <w:lang w:val="en-US" w:eastAsia="zh-CN" w:bidi="ar"/>
              </w:rPr>
              <w:t>和相对应的发票或银行进账证明，</w:t>
            </w:r>
            <w:r>
              <w:rPr>
                <w:rFonts w:ascii="宋体" w:hAnsi="宋体" w:eastAsia="宋体" w:cs="宋体"/>
                <w:caps w:val="0"/>
                <w:spacing w:val="0"/>
                <w:kern w:val="0"/>
                <w:sz w:val="24"/>
                <w:szCs w:val="24"/>
                <w:highlight w:val="none"/>
                <w:lang w:val="en-US" w:eastAsia="zh-CN" w:bidi="ar"/>
              </w:rPr>
              <w:t>每份合同得5分，最多计3份，本项满分15分。</w:t>
            </w:r>
          </w:p>
        </w:tc>
        <w:tc>
          <w:tcPr>
            <w:tcW w:w="919" w:type="dxa"/>
            <w:shd w:val="clear" w:color="auto" w:fill="auto"/>
            <w:tcMar>
              <w:top w:w="120" w:type="dxa"/>
              <w:left w:w="120" w:type="dxa"/>
              <w:bottom w:w="120" w:type="dxa"/>
              <w:right w:w="120" w:type="dxa"/>
            </w:tcMar>
            <w:vAlign w:val="center"/>
          </w:tcPr>
          <w:p w14:paraId="2C935C5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heme="minorHAnsi" w:hAnsiTheme="minorHAnsi" w:eastAsiaTheme="minorEastAsia" w:cstheme="minorBidi"/>
                <w:caps w:val="0"/>
                <w:spacing w:val="0"/>
                <w:kern w:val="2"/>
                <w:sz w:val="21"/>
                <w:szCs w:val="24"/>
                <w:lang w:val="en-US" w:eastAsia="zh-CN" w:bidi="ar-SA"/>
              </w:rPr>
            </w:pPr>
            <w:r>
              <w:rPr>
                <w:rFonts w:hint="eastAsia" w:ascii="宋体" w:hAnsi="宋体" w:eastAsia="宋体" w:cs="宋体"/>
                <w:caps w:val="0"/>
                <w:spacing w:val="0"/>
                <w:kern w:val="0"/>
                <w:sz w:val="24"/>
                <w:szCs w:val="24"/>
                <w:lang w:val="en-US" w:eastAsia="zh-CN" w:bidi="ar"/>
              </w:rPr>
              <w:t>10</w:t>
            </w:r>
          </w:p>
        </w:tc>
        <w:tc>
          <w:tcPr>
            <w:tcW w:w="863" w:type="dxa"/>
            <w:shd w:val="clear" w:color="auto" w:fill="auto"/>
            <w:tcMar>
              <w:top w:w="120" w:type="dxa"/>
              <w:left w:w="120" w:type="dxa"/>
              <w:bottom w:w="120" w:type="dxa"/>
              <w:right w:w="120" w:type="dxa"/>
            </w:tcMar>
            <w:vAlign w:val="center"/>
          </w:tcPr>
          <w:p w14:paraId="308D5A67">
            <w:pPr>
              <w:keepNext w:val="0"/>
              <w:keepLines w:val="0"/>
              <w:pageBreakBefore w:val="0"/>
              <w:kinsoku/>
              <w:wordWrap/>
              <w:overflowPunct/>
              <w:topLinePunct w:val="0"/>
              <w:autoSpaceDE/>
              <w:autoSpaceDN/>
              <w:bidi w:val="0"/>
              <w:adjustRightInd/>
              <w:snapToGrid w:val="0"/>
              <w:spacing w:line="240" w:lineRule="auto"/>
              <w:jc w:val="left"/>
              <w:textAlignment w:val="auto"/>
              <w:rPr>
                <w:rFonts w:hint="eastAsia" w:ascii="宋体" w:hAnsiTheme="minorHAnsi" w:eastAsiaTheme="minorEastAsia" w:cstheme="minorBidi"/>
                <w:caps w:val="0"/>
                <w:spacing w:val="0"/>
                <w:kern w:val="2"/>
                <w:sz w:val="24"/>
                <w:szCs w:val="24"/>
                <w:lang w:val="en-US" w:eastAsia="zh-CN" w:bidi="ar-SA"/>
              </w:rPr>
            </w:pPr>
          </w:p>
        </w:tc>
      </w:tr>
      <w:tr w14:paraId="5D48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855" w:type="dxa"/>
            <w:shd w:val="clear" w:color="auto" w:fill="auto"/>
            <w:tcMar>
              <w:top w:w="120" w:type="dxa"/>
              <w:left w:w="120" w:type="dxa"/>
              <w:bottom w:w="120" w:type="dxa"/>
              <w:right w:w="120" w:type="dxa"/>
            </w:tcMar>
            <w:vAlign w:val="center"/>
          </w:tcPr>
          <w:p w14:paraId="6AF1BE1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asciiTheme="minorHAnsi" w:hAnsiTheme="minorHAnsi" w:eastAsiaTheme="minorEastAsia" w:cstheme="minorBidi"/>
                <w:caps w:val="0"/>
                <w:spacing w:val="0"/>
                <w:kern w:val="2"/>
                <w:sz w:val="21"/>
                <w:szCs w:val="24"/>
                <w:lang w:val="en-US" w:eastAsia="zh-CN" w:bidi="ar-SA"/>
              </w:rPr>
            </w:pPr>
            <w:r>
              <w:rPr>
                <w:rFonts w:hint="eastAsia" w:ascii="宋体" w:hAnsi="宋体" w:eastAsia="宋体" w:cs="宋体"/>
                <w:caps w:val="0"/>
                <w:spacing w:val="0"/>
                <w:kern w:val="0"/>
                <w:sz w:val="24"/>
                <w:szCs w:val="24"/>
                <w:lang w:val="en-US" w:eastAsia="zh-CN" w:bidi="ar"/>
              </w:rPr>
              <w:t>4</w:t>
            </w:r>
          </w:p>
        </w:tc>
        <w:tc>
          <w:tcPr>
            <w:tcW w:w="744" w:type="dxa"/>
            <w:shd w:val="clear" w:color="auto" w:fill="auto"/>
            <w:tcMar>
              <w:top w:w="120" w:type="dxa"/>
              <w:left w:w="120" w:type="dxa"/>
              <w:bottom w:w="120" w:type="dxa"/>
              <w:right w:w="120" w:type="dxa"/>
            </w:tcMar>
            <w:vAlign w:val="center"/>
          </w:tcPr>
          <w:p w14:paraId="325301D8">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default" w:asciiTheme="minorHAnsi" w:hAnsiTheme="minorHAnsi" w:eastAsiaTheme="minorEastAsia" w:cstheme="minorBidi"/>
                <w:caps w:val="0"/>
                <w:spacing w:val="0"/>
                <w:kern w:val="2"/>
                <w:sz w:val="21"/>
                <w:szCs w:val="24"/>
                <w:lang w:val="en-US" w:eastAsia="zh-CN" w:bidi="ar-SA"/>
              </w:rPr>
            </w:pPr>
            <w:r>
              <w:rPr>
                <w:rFonts w:hint="eastAsia" w:ascii="宋体" w:hAnsi="宋体" w:eastAsia="宋体" w:cs="宋体"/>
                <w:caps w:val="0"/>
                <w:spacing w:val="0"/>
                <w:kern w:val="0"/>
                <w:sz w:val="24"/>
                <w:szCs w:val="24"/>
                <w:lang w:val="en-US" w:eastAsia="zh-CN" w:bidi="ar"/>
              </w:rPr>
              <w:t>响应速度</w:t>
            </w:r>
          </w:p>
        </w:tc>
        <w:tc>
          <w:tcPr>
            <w:tcW w:w="6828" w:type="dxa"/>
            <w:shd w:val="clear" w:color="auto" w:fill="auto"/>
            <w:tcMar>
              <w:top w:w="120" w:type="dxa"/>
              <w:left w:w="120" w:type="dxa"/>
              <w:bottom w:w="120" w:type="dxa"/>
              <w:right w:w="120" w:type="dxa"/>
            </w:tcMar>
            <w:vAlign w:val="center"/>
          </w:tcPr>
          <w:p w14:paraId="2FB5169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sz w:val="24"/>
                <w:szCs w:val="24"/>
              </w:rPr>
              <w:t>投标人承诺接到服务需求后2小时内到达现场，得10分；承诺4小时内到达现场，得7分；承诺8小时内到达现场，得5分；承诺到场时长超过8小时或未明确响应时限的，得0分。投标人须提供加盖公章的响应时限承诺书，否则本项不得分。</w:t>
            </w:r>
          </w:p>
        </w:tc>
        <w:tc>
          <w:tcPr>
            <w:tcW w:w="919" w:type="dxa"/>
            <w:shd w:val="clear" w:color="auto" w:fill="auto"/>
            <w:tcMar>
              <w:top w:w="120" w:type="dxa"/>
              <w:left w:w="120" w:type="dxa"/>
              <w:bottom w:w="120" w:type="dxa"/>
              <w:right w:w="120" w:type="dxa"/>
            </w:tcMar>
            <w:vAlign w:val="center"/>
          </w:tcPr>
          <w:p w14:paraId="718CA21D">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lang w:val="en-US" w:eastAsia="zh-CN" w:bidi="ar"/>
              </w:rPr>
              <w:t>10</w:t>
            </w:r>
          </w:p>
        </w:tc>
        <w:tc>
          <w:tcPr>
            <w:tcW w:w="863" w:type="dxa"/>
            <w:shd w:val="clear" w:color="auto" w:fill="auto"/>
            <w:tcMar>
              <w:top w:w="120" w:type="dxa"/>
              <w:left w:w="120" w:type="dxa"/>
              <w:bottom w:w="120" w:type="dxa"/>
              <w:right w:w="120" w:type="dxa"/>
            </w:tcMar>
            <w:vAlign w:val="center"/>
          </w:tcPr>
          <w:p w14:paraId="3E63EA67">
            <w:pPr>
              <w:keepNext w:val="0"/>
              <w:keepLines w:val="0"/>
              <w:pageBreakBefore w:val="0"/>
              <w:kinsoku/>
              <w:wordWrap/>
              <w:overflowPunct/>
              <w:topLinePunct w:val="0"/>
              <w:autoSpaceDE/>
              <w:autoSpaceDN/>
              <w:bidi w:val="0"/>
              <w:adjustRightInd/>
              <w:snapToGrid w:val="0"/>
              <w:spacing w:line="240" w:lineRule="auto"/>
              <w:jc w:val="left"/>
              <w:textAlignment w:val="auto"/>
              <w:rPr>
                <w:rFonts w:hint="eastAsia" w:ascii="宋体" w:hAnsiTheme="minorHAnsi" w:eastAsiaTheme="minorEastAsia" w:cstheme="minorBidi"/>
                <w:caps w:val="0"/>
                <w:spacing w:val="0"/>
                <w:kern w:val="2"/>
                <w:sz w:val="24"/>
                <w:szCs w:val="24"/>
                <w:lang w:val="en-US" w:eastAsia="zh-CN" w:bidi="ar-SA"/>
              </w:rPr>
            </w:pPr>
          </w:p>
        </w:tc>
      </w:tr>
      <w:tr w14:paraId="1B88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55" w:type="dxa"/>
            <w:shd w:val="clear" w:color="auto" w:fill="auto"/>
            <w:tcMar>
              <w:top w:w="120" w:type="dxa"/>
              <w:left w:w="120" w:type="dxa"/>
              <w:bottom w:w="120" w:type="dxa"/>
              <w:right w:w="120" w:type="dxa"/>
            </w:tcMar>
            <w:vAlign w:val="center"/>
          </w:tcPr>
          <w:p w14:paraId="687C0EC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asciiTheme="minorHAnsi" w:hAnsiTheme="minorHAnsi" w:eastAsiaTheme="minorEastAsia" w:cstheme="minorBidi"/>
                <w:caps w:val="0"/>
                <w:spacing w:val="0"/>
                <w:kern w:val="2"/>
                <w:sz w:val="21"/>
                <w:szCs w:val="24"/>
                <w:lang w:val="en-US" w:eastAsia="zh-CN" w:bidi="ar-SA"/>
              </w:rPr>
            </w:pPr>
            <w:r>
              <w:rPr>
                <w:rFonts w:hint="eastAsia" w:ascii="宋体" w:hAnsi="宋体" w:eastAsia="宋体" w:cs="宋体"/>
                <w:caps w:val="0"/>
                <w:spacing w:val="0"/>
                <w:kern w:val="0"/>
                <w:sz w:val="24"/>
                <w:szCs w:val="24"/>
                <w:lang w:val="en-US" w:eastAsia="zh-CN" w:bidi="ar"/>
              </w:rPr>
              <w:t>5</w:t>
            </w:r>
          </w:p>
        </w:tc>
        <w:tc>
          <w:tcPr>
            <w:tcW w:w="744" w:type="dxa"/>
            <w:shd w:val="clear" w:color="auto" w:fill="auto"/>
            <w:tcMar>
              <w:top w:w="120" w:type="dxa"/>
              <w:left w:w="120" w:type="dxa"/>
              <w:bottom w:w="120" w:type="dxa"/>
              <w:right w:w="120" w:type="dxa"/>
            </w:tcMar>
            <w:vAlign w:val="center"/>
          </w:tcPr>
          <w:p w14:paraId="6135080B">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lang w:val="en-US" w:eastAsia="zh-CN" w:bidi="ar"/>
              </w:rPr>
              <w:t>检测方案</w:t>
            </w:r>
          </w:p>
        </w:tc>
        <w:tc>
          <w:tcPr>
            <w:tcW w:w="6828" w:type="dxa"/>
            <w:shd w:val="clear" w:color="auto" w:fill="auto"/>
            <w:tcMar>
              <w:top w:w="120" w:type="dxa"/>
              <w:left w:w="120" w:type="dxa"/>
              <w:bottom w:w="120" w:type="dxa"/>
              <w:right w:w="120" w:type="dxa"/>
            </w:tcMar>
            <w:vAlign w:val="center"/>
          </w:tcPr>
          <w:p w14:paraId="3FC75CDA">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lang w:val="en-US" w:eastAsia="zh-CN" w:bidi="ar"/>
              </w:rPr>
              <w:t>检测目的明确，判定限值清晰，得3分；检测方法符合现行有效标准，得4分；量值校准溯源清晰、原始记录规范完整，得3分。本项满分10分。</w:t>
            </w:r>
            <w:bookmarkStart w:id="0" w:name="_GoBack"/>
            <w:bookmarkEnd w:id="0"/>
          </w:p>
        </w:tc>
        <w:tc>
          <w:tcPr>
            <w:tcW w:w="919" w:type="dxa"/>
            <w:shd w:val="clear" w:color="auto" w:fill="auto"/>
            <w:tcMar>
              <w:top w:w="120" w:type="dxa"/>
              <w:left w:w="120" w:type="dxa"/>
              <w:bottom w:w="120" w:type="dxa"/>
              <w:right w:w="120" w:type="dxa"/>
            </w:tcMar>
            <w:vAlign w:val="center"/>
          </w:tcPr>
          <w:p w14:paraId="7B79CA3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asciiTheme="minorHAnsi" w:hAnsiTheme="minorHAnsi" w:eastAsiaTheme="minorEastAsia" w:cstheme="minorBidi"/>
                <w:caps w:val="0"/>
                <w:spacing w:val="0"/>
                <w:kern w:val="2"/>
                <w:sz w:val="21"/>
                <w:szCs w:val="24"/>
                <w:lang w:val="en-US" w:eastAsia="zh-CN" w:bidi="ar-SA"/>
              </w:rPr>
            </w:pPr>
            <w:r>
              <w:rPr>
                <w:rFonts w:ascii="宋体" w:hAnsi="宋体" w:eastAsia="宋体" w:cs="宋体"/>
                <w:caps w:val="0"/>
                <w:spacing w:val="0"/>
                <w:kern w:val="0"/>
                <w:sz w:val="24"/>
                <w:szCs w:val="24"/>
                <w:lang w:val="en-US" w:eastAsia="zh-CN" w:bidi="ar"/>
              </w:rPr>
              <w:t>10</w:t>
            </w:r>
          </w:p>
        </w:tc>
        <w:tc>
          <w:tcPr>
            <w:tcW w:w="863" w:type="dxa"/>
            <w:shd w:val="clear" w:color="auto" w:fill="auto"/>
            <w:tcMar>
              <w:top w:w="120" w:type="dxa"/>
              <w:left w:w="120" w:type="dxa"/>
              <w:bottom w:w="120" w:type="dxa"/>
              <w:right w:w="120" w:type="dxa"/>
            </w:tcMar>
            <w:vAlign w:val="center"/>
          </w:tcPr>
          <w:p w14:paraId="4FD0F764">
            <w:pPr>
              <w:keepNext w:val="0"/>
              <w:keepLines w:val="0"/>
              <w:pageBreakBefore w:val="0"/>
              <w:kinsoku/>
              <w:wordWrap/>
              <w:overflowPunct/>
              <w:topLinePunct w:val="0"/>
              <w:autoSpaceDE/>
              <w:autoSpaceDN/>
              <w:bidi w:val="0"/>
              <w:adjustRightInd/>
              <w:snapToGrid w:val="0"/>
              <w:spacing w:line="240" w:lineRule="auto"/>
              <w:jc w:val="left"/>
              <w:textAlignment w:val="auto"/>
              <w:rPr>
                <w:rFonts w:hint="eastAsia" w:ascii="宋体" w:hAnsiTheme="minorHAnsi" w:eastAsiaTheme="minorEastAsia" w:cstheme="minorBidi"/>
                <w:caps w:val="0"/>
                <w:spacing w:val="0"/>
                <w:kern w:val="2"/>
                <w:sz w:val="24"/>
                <w:szCs w:val="24"/>
                <w:lang w:val="en-US" w:eastAsia="zh-CN" w:bidi="ar-SA"/>
              </w:rPr>
            </w:pPr>
          </w:p>
        </w:tc>
      </w:tr>
      <w:tr w14:paraId="4E994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jc w:val="center"/>
        </w:trPr>
        <w:tc>
          <w:tcPr>
            <w:tcW w:w="855" w:type="dxa"/>
            <w:shd w:val="clear" w:color="auto" w:fill="auto"/>
            <w:tcMar>
              <w:top w:w="120" w:type="dxa"/>
              <w:left w:w="120" w:type="dxa"/>
              <w:bottom w:w="120" w:type="dxa"/>
              <w:right w:w="120" w:type="dxa"/>
            </w:tcMar>
            <w:vAlign w:val="center"/>
          </w:tcPr>
          <w:p w14:paraId="757D2D15">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ascii="宋体" w:hAnsi="宋体" w:eastAsia="宋体" w:cs="宋体"/>
                <w:caps w:val="0"/>
                <w:spacing w:val="0"/>
                <w:kern w:val="0"/>
                <w:sz w:val="24"/>
                <w:szCs w:val="24"/>
                <w:lang w:val="en-US" w:eastAsia="zh-CN" w:bidi="ar"/>
              </w:rPr>
            </w:pPr>
            <w:r>
              <w:rPr>
                <w:rFonts w:hint="eastAsia" w:ascii="宋体" w:hAnsi="宋体" w:eastAsia="宋体" w:cs="宋体"/>
                <w:caps w:val="0"/>
                <w:spacing w:val="0"/>
                <w:kern w:val="0"/>
                <w:sz w:val="24"/>
                <w:szCs w:val="24"/>
                <w:lang w:val="en-US" w:eastAsia="zh-CN" w:bidi="ar"/>
              </w:rPr>
              <w:t>6</w:t>
            </w:r>
          </w:p>
        </w:tc>
        <w:tc>
          <w:tcPr>
            <w:tcW w:w="744" w:type="dxa"/>
            <w:shd w:val="clear" w:color="auto" w:fill="auto"/>
            <w:tcMar>
              <w:top w:w="120" w:type="dxa"/>
              <w:left w:w="120" w:type="dxa"/>
              <w:bottom w:w="120" w:type="dxa"/>
              <w:right w:w="120" w:type="dxa"/>
            </w:tcMar>
            <w:vAlign w:val="center"/>
          </w:tcPr>
          <w:p w14:paraId="43E4B0EF">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default" w:ascii="宋体" w:hAnsi="宋体" w:eastAsia="宋体" w:cs="宋体"/>
                <w:caps w:val="0"/>
                <w:spacing w:val="0"/>
                <w:kern w:val="0"/>
                <w:sz w:val="24"/>
                <w:szCs w:val="24"/>
                <w:lang w:val="en-US" w:eastAsia="zh-CN" w:bidi="ar"/>
              </w:rPr>
            </w:pPr>
            <w:r>
              <w:rPr>
                <w:rFonts w:hint="eastAsia" w:ascii="宋体" w:hAnsi="宋体" w:eastAsia="宋体" w:cs="宋体"/>
                <w:caps w:val="0"/>
                <w:spacing w:val="0"/>
                <w:kern w:val="0"/>
                <w:sz w:val="24"/>
                <w:szCs w:val="24"/>
                <w:lang w:val="en-US" w:eastAsia="zh-CN" w:bidi="ar"/>
              </w:rPr>
              <w:t>售后服务</w:t>
            </w:r>
          </w:p>
        </w:tc>
        <w:tc>
          <w:tcPr>
            <w:tcW w:w="6828" w:type="dxa"/>
            <w:shd w:val="clear" w:color="auto" w:fill="auto"/>
            <w:tcMar>
              <w:top w:w="120" w:type="dxa"/>
              <w:left w:w="120" w:type="dxa"/>
              <w:bottom w:w="120" w:type="dxa"/>
              <w:right w:w="120" w:type="dxa"/>
            </w:tcMar>
            <w:vAlign w:val="center"/>
          </w:tcPr>
          <w:p w14:paraId="0BC0C9F3">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default" w:ascii="宋体" w:hAnsi="宋体" w:eastAsia="宋体" w:cs="宋体"/>
                <w:caps w:val="0"/>
                <w:spacing w:val="0"/>
                <w:kern w:val="0"/>
                <w:sz w:val="24"/>
                <w:szCs w:val="24"/>
                <w:lang w:val="en-US" w:eastAsia="zh-CN" w:bidi="ar"/>
              </w:rPr>
            </w:pPr>
            <w:r>
              <w:rPr>
                <w:rFonts w:hint="eastAsia" w:ascii="宋体" w:hAnsi="宋体" w:eastAsia="宋体" w:cs="宋体"/>
                <w:caps w:val="0"/>
                <w:spacing w:val="0"/>
                <w:kern w:val="0"/>
                <w:sz w:val="24"/>
                <w:szCs w:val="24"/>
                <w:lang w:val="en-US" w:eastAsia="zh-CN" w:bidi="ar"/>
              </w:rPr>
              <w:t>售后服务方案完善程度、故障响应时效性、技术答疑专业性，重点核查故障处置、退换货、备件保障机制是否清晰明确。评分标准：方案内容优秀、机制完备，8–10分；方案良好、主要机制齐全，5–7分；方案一般、内容存在缺项，2–4分；方案不完善、关键机制缺失，0–1分。本项满分10分。</w:t>
            </w:r>
          </w:p>
        </w:tc>
        <w:tc>
          <w:tcPr>
            <w:tcW w:w="919" w:type="dxa"/>
            <w:shd w:val="clear" w:color="auto" w:fill="auto"/>
            <w:tcMar>
              <w:top w:w="120" w:type="dxa"/>
              <w:left w:w="120" w:type="dxa"/>
              <w:bottom w:w="120" w:type="dxa"/>
              <w:right w:w="120" w:type="dxa"/>
            </w:tcMar>
            <w:vAlign w:val="center"/>
          </w:tcPr>
          <w:p w14:paraId="7BE32A3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宋体" w:hAnsi="宋体" w:eastAsia="宋体" w:cs="宋体"/>
                <w:caps w:val="0"/>
                <w:spacing w:val="0"/>
                <w:kern w:val="0"/>
                <w:sz w:val="24"/>
                <w:szCs w:val="24"/>
                <w:lang w:val="en-US" w:eastAsia="zh-CN" w:bidi="ar"/>
              </w:rPr>
            </w:pPr>
            <w:r>
              <w:rPr>
                <w:rFonts w:hint="eastAsia" w:ascii="宋体" w:hAnsi="宋体" w:eastAsia="宋体" w:cs="宋体"/>
                <w:caps w:val="0"/>
                <w:spacing w:val="0"/>
                <w:kern w:val="0"/>
                <w:sz w:val="24"/>
                <w:szCs w:val="24"/>
                <w:lang w:val="en-US" w:eastAsia="zh-CN" w:bidi="ar"/>
              </w:rPr>
              <w:t>10</w:t>
            </w:r>
          </w:p>
        </w:tc>
        <w:tc>
          <w:tcPr>
            <w:tcW w:w="863" w:type="dxa"/>
            <w:shd w:val="clear" w:color="auto" w:fill="auto"/>
            <w:tcMar>
              <w:top w:w="120" w:type="dxa"/>
              <w:left w:w="120" w:type="dxa"/>
              <w:bottom w:w="120" w:type="dxa"/>
              <w:right w:w="120" w:type="dxa"/>
            </w:tcMar>
            <w:vAlign w:val="center"/>
          </w:tcPr>
          <w:p w14:paraId="38CA33B5">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eastAsia" w:ascii="宋体" w:hAnsi="宋体" w:eastAsia="宋体" w:cs="宋体"/>
                <w:caps w:val="0"/>
                <w:spacing w:val="0"/>
                <w:kern w:val="0"/>
                <w:sz w:val="24"/>
                <w:szCs w:val="24"/>
                <w:lang w:val="en-US" w:eastAsia="zh-CN" w:bidi="ar"/>
              </w:rPr>
            </w:pPr>
          </w:p>
        </w:tc>
      </w:tr>
      <w:tr w14:paraId="4AAE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855" w:type="dxa"/>
            <w:shd w:val="clear" w:color="auto" w:fill="auto"/>
            <w:tcMar>
              <w:top w:w="120" w:type="dxa"/>
              <w:left w:w="120" w:type="dxa"/>
              <w:bottom w:w="120" w:type="dxa"/>
              <w:right w:w="120" w:type="dxa"/>
            </w:tcMar>
            <w:vAlign w:val="center"/>
          </w:tcPr>
          <w:p w14:paraId="684627D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caps w:val="0"/>
                <w:spacing w:val="0"/>
              </w:rPr>
            </w:pPr>
            <w:r>
              <w:rPr>
                <w:rFonts w:hint="eastAsia" w:ascii="宋体" w:hAnsi="宋体" w:eastAsia="宋体" w:cs="宋体"/>
                <w:caps w:val="0"/>
                <w:spacing w:val="0"/>
                <w:kern w:val="0"/>
                <w:sz w:val="24"/>
                <w:szCs w:val="24"/>
                <w:lang w:val="en-US" w:eastAsia="zh-CN" w:bidi="ar"/>
              </w:rPr>
              <w:t>7</w:t>
            </w:r>
          </w:p>
        </w:tc>
        <w:tc>
          <w:tcPr>
            <w:tcW w:w="744" w:type="dxa"/>
            <w:shd w:val="clear" w:color="auto" w:fill="auto"/>
            <w:tcMar>
              <w:top w:w="120" w:type="dxa"/>
              <w:left w:w="120" w:type="dxa"/>
              <w:bottom w:w="120" w:type="dxa"/>
              <w:right w:w="120" w:type="dxa"/>
            </w:tcMar>
            <w:vAlign w:val="center"/>
          </w:tcPr>
          <w:p w14:paraId="5AC2E734">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caps w:val="0"/>
                <w:spacing w:val="0"/>
              </w:rPr>
            </w:pPr>
            <w:r>
              <w:rPr>
                <w:rFonts w:ascii="宋体" w:hAnsi="宋体" w:eastAsia="宋体" w:cs="宋体"/>
                <w:caps w:val="0"/>
                <w:spacing w:val="0"/>
                <w:kern w:val="0"/>
                <w:sz w:val="24"/>
                <w:szCs w:val="24"/>
                <w:lang w:val="en-US" w:eastAsia="zh-CN" w:bidi="ar"/>
              </w:rPr>
              <w:t>投标报价</w:t>
            </w:r>
          </w:p>
        </w:tc>
        <w:tc>
          <w:tcPr>
            <w:tcW w:w="6828" w:type="dxa"/>
            <w:shd w:val="clear" w:color="auto" w:fill="auto"/>
            <w:tcMar>
              <w:top w:w="120" w:type="dxa"/>
              <w:left w:w="120" w:type="dxa"/>
              <w:bottom w:w="120" w:type="dxa"/>
              <w:right w:w="120" w:type="dxa"/>
            </w:tcMar>
            <w:vAlign w:val="center"/>
          </w:tcPr>
          <w:p w14:paraId="491778E2">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caps w:val="0"/>
                <w:spacing w:val="0"/>
              </w:rPr>
            </w:pPr>
            <w:r>
              <w:rPr>
                <w:rFonts w:ascii="宋体" w:hAnsi="宋体" w:eastAsia="宋体" w:cs="宋体"/>
                <w:caps w:val="0"/>
                <w:spacing w:val="0"/>
                <w:kern w:val="0"/>
                <w:sz w:val="24"/>
                <w:szCs w:val="24"/>
                <w:lang w:val="en-US" w:eastAsia="zh-CN" w:bidi="ar"/>
              </w:rPr>
              <w:t>对评审合格的有效投标报价，去掉1个最高报价、去掉1个最低报价，剩余有效报价算术平均值作为评标基准价；有效投标人数量≤3家时，不剔除报价，取全部有效投标报价算术平均值作为评标基准价。按报价接近评标基准价排序：第1名得</w:t>
            </w:r>
            <w:r>
              <w:rPr>
                <w:rFonts w:hint="eastAsia" w:ascii="宋体" w:hAnsi="宋体" w:eastAsia="宋体" w:cs="宋体"/>
                <w:caps w:val="0"/>
                <w:spacing w:val="0"/>
                <w:kern w:val="0"/>
                <w:sz w:val="24"/>
                <w:szCs w:val="24"/>
                <w:lang w:val="en-US" w:eastAsia="zh-CN" w:bidi="ar"/>
              </w:rPr>
              <w:t>40</w:t>
            </w:r>
            <w:r>
              <w:rPr>
                <w:rFonts w:ascii="宋体" w:hAnsi="宋体" w:eastAsia="宋体" w:cs="宋体"/>
                <w:caps w:val="0"/>
                <w:spacing w:val="0"/>
                <w:kern w:val="0"/>
                <w:sz w:val="24"/>
                <w:szCs w:val="24"/>
                <w:lang w:val="en-US" w:eastAsia="zh-CN" w:bidi="ar"/>
              </w:rPr>
              <w:t>分，第2名得</w:t>
            </w:r>
            <w:r>
              <w:rPr>
                <w:rFonts w:hint="eastAsia" w:ascii="宋体" w:hAnsi="宋体" w:eastAsia="宋体" w:cs="宋体"/>
                <w:caps w:val="0"/>
                <w:spacing w:val="0"/>
                <w:kern w:val="0"/>
                <w:sz w:val="24"/>
                <w:szCs w:val="24"/>
                <w:lang w:val="en-US" w:eastAsia="zh-CN" w:bidi="ar"/>
              </w:rPr>
              <w:t>35</w:t>
            </w:r>
            <w:r>
              <w:rPr>
                <w:rFonts w:ascii="宋体" w:hAnsi="宋体" w:eastAsia="宋体" w:cs="宋体"/>
                <w:caps w:val="0"/>
                <w:spacing w:val="0"/>
                <w:kern w:val="0"/>
                <w:sz w:val="24"/>
                <w:szCs w:val="24"/>
                <w:lang w:val="en-US" w:eastAsia="zh-CN" w:bidi="ar"/>
              </w:rPr>
              <w:t>分，依次递减</w:t>
            </w:r>
            <w:r>
              <w:rPr>
                <w:rFonts w:hint="eastAsia" w:ascii="宋体" w:hAnsi="宋体" w:eastAsia="宋体" w:cs="宋体"/>
                <w:caps w:val="0"/>
                <w:spacing w:val="0"/>
                <w:kern w:val="0"/>
                <w:sz w:val="24"/>
                <w:szCs w:val="24"/>
                <w:lang w:val="en-US" w:eastAsia="zh-CN" w:bidi="ar"/>
              </w:rPr>
              <w:t>5分，最低得0分</w:t>
            </w:r>
            <w:r>
              <w:rPr>
                <w:rFonts w:ascii="宋体" w:hAnsi="宋体" w:eastAsia="宋体" w:cs="宋体"/>
                <w:caps w:val="0"/>
                <w:spacing w:val="0"/>
                <w:kern w:val="0"/>
                <w:sz w:val="24"/>
                <w:szCs w:val="24"/>
                <w:lang w:val="en-US" w:eastAsia="zh-CN" w:bidi="ar"/>
              </w:rPr>
              <w:t>。报价相同时，优先排序规则：①服务便捷性得分高者优先；②技术力量得分高者优先。</w:t>
            </w:r>
          </w:p>
        </w:tc>
        <w:tc>
          <w:tcPr>
            <w:tcW w:w="919" w:type="dxa"/>
            <w:shd w:val="clear" w:color="auto" w:fill="auto"/>
            <w:tcMar>
              <w:top w:w="120" w:type="dxa"/>
              <w:left w:w="120" w:type="dxa"/>
              <w:bottom w:w="120" w:type="dxa"/>
              <w:right w:w="120" w:type="dxa"/>
            </w:tcMar>
            <w:vAlign w:val="center"/>
          </w:tcPr>
          <w:p w14:paraId="0D2AA09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caps w:val="0"/>
                <w:spacing w:val="0"/>
                <w:lang w:val="en-US"/>
              </w:rPr>
            </w:pPr>
            <w:r>
              <w:rPr>
                <w:rFonts w:hint="eastAsia" w:ascii="宋体" w:hAnsi="宋体" w:eastAsia="宋体" w:cs="宋体"/>
                <w:caps w:val="0"/>
                <w:spacing w:val="0"/>
                <w:kern w:val="0"/>
                <w:sz w:val="24"/>
                <w:szCs w:val="24"/>
                <w:lang w:val="en-US" w:eastAsia="zh-CN" w:bidi="ar"/>
              </w:rPr>
              <w:t>40</w:t>
            </w:r>
          </w:p>
        </w:tc>
        <w:tc>
          <w:tcPr>
            <w:tcW w:w="863" w:type="dxa"/>
            <w:shd w:val="clear" w:color="auto" w:fill="auto"/>
            <w:tcMar>
              <w:top w:w="120" w:type="dxa"/>
              <w:left w:w="120" w:type="dxa"/>
              <w:bottom w:w="120" w:type="dxa"/>
              <w:right w:w="120" w:type="dxa"/>
            </w:tcMar>
            <w:vAlign w:val="center"/>
          </w:tcPr>
          <w:p w14:paraId="3C8DEC67">
            <w:pPr>
              <w:keepNext w:val="0"/>
              <w:keepLines w:val="0"/>
              <w:pageBreakBefore w:val="0"/>
              <w:kinsoku/>
              <w:wordWrap/>
              <w:overflowPunct/>
              <w:topLinePunct w:val="0"/>
              <w:autoSpaceDE/>
              <w:autoSpaceDN/>
              <w:bidi w:val="0"/>
              <w:adjustRightInd/>
              <w:snapToGrid w:val="0"/>
              <w:spacing w:line="240" w:lineRule="auto"/>
              <w:jc w:val="left"/>
              <w:textAlignment w:val="auto"/>
              <w:rPr>
                <w:rFonts w:hint="eastAsia" w:ascii="宋体"/>
                <w:caps w:val="0"/>
                <w:spacing w:val="0"/>
                <w:sz w:val="24"/>
                <w:szCs w:val="24"/>
              </w:rPr>
            </w:pPr>
          </w:p>
        </w:tc>
      </w:tr>
    </w:tbl>
    <w:p w14:paraId="7102A6E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p>
    <w:p w14:paraId="2D8C233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三、评分计算与排序规则</w:t>
      </w:r>
    </w:p>
    <w:p w14:paraId="178709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比选小组各成员独立打分，响应人各分项得分之和为最终得分。</w:t>
      </w:r>
    </w:p>
    <w:p w14:paraId="10B4170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按总得分由高到低排序，推荐前3名作为中选候选人。</w:t>
      </w:r>
    </w:p>
    <w:p w14:paraId="4E69506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总得分相同时，依次按服务便捷性得分高→技术力量得分高的优先级排序。</w:t>
      </w:r>
    </w:p>
    <w:p w14:paraId="3646866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四、附则</w:t>
      </w:r>
    </w:p>
    <w:p w14:paraId="366F7CD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本办法由比选人负责解释，评审过程严格保密。</w:t>
      </w:r>
    </w:p>
    <w:p w14:paraId="245906D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若发现参选单位存在弄虚作假、串通比选等违法违规行为，立即取消其参选资格，已中选的取消中选资格。</w:t>
      </w:r>
    </w:p>
    <w:p w14:paraId="608ABCD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评审过程中遇本办法未列明事项，由比选小组集体研究决定。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134BDA"/>
    <w:multiLevelType w:val="singleLevel"/>
    <w:tmpl w:val="D6134BD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75476F"/>
    <w:rsid w:val="081B782A"/>
    <w:rsid w:val="16347FCD"/>
    <w:rsid w:val="1A991A61"/>
    <w:rsid w:val="2775476F"/>
    <w:rsid w:val="2D7D6D70"/>
    <w:rsid w:val="314A4FAB"/>
    <w:rsid w:val="37C20C45"/>
    <w:rsid w:val="3814399F"/>
    <w:rsid w:val="5F870DAE"/>
    <w:rsid w:val="602B1B14"/>
    <w:rsid w:val="746A1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1366</Words>
  <Characters>1402</Characters>
  <Lines>0</Lines>
  <Paragraphs>0</Paragraphs>
  <TotalTime>56</TotalTime>
  <ScaleCrop>false</ScaleCrop>
  <LinksUpToDate>false</LinksUpToDate>
  <CharactersWithSpaces>1402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2026-10-19T07:24:00Z</dcterms:created>
  <dc:creator>我陪你去疯</dc:creator>
  <cp:lastModifiedBy>Administrator</cp:lastModifiedBy>
  <cp:lastPrinted>2026-10-21T08:48:00Z</cp:lastPrinted>
  <dcterms:modified xsi:type="dcterms:W3CDTF">2026-10-28T02:39:34Z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A47887E6F0FF4C1DBF9B66514647E1DD_11</vt:lpwstr>
  </property>
  <property fmtid="{D5CDD505-2E9C-101B-9397-08002B2CF9AE}" pid="4" name="KSOTemplateDocerSaveRecord">
    <vt:lpwstr>eyJoZGlkIjoiZWI5ZjE0YzUyMGQ3ODgxMTEyODJmOGE4YmExOWM3MmUiLCJ1c2VySWQiOiIxMTQzNDI0MzA0In0=</vt:lpwstr>
  </property>
</Properties>
</file>