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1032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8"/>
        <w:gridCol w:w="1155"/>
        <w:gridCol w:w="1778"/>
        <w:gridCol w:w="5739"/>
      </w:tblGrid>
      <w:tr w14:paraId="6BE71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5" w:hRule="atLeast"/>
        </w:trPr>
        <w:tc>
          <w:tcPr>
            <w:tcW w:w="1648" w:type="dxa"/>
            <w:vAlign w:val="center"/>
          </w:tcPr>
          <w:p w14:paraId="5DFDE12C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条款号</w:t>
            </w:r>
          </w:p>
        </w:tc>
        <w:tc>
          <w:tcPr>
            <w:tcW w:w="2933" w:type="dxa"/>
            <w:gridSpan w:val="2"/>
            <w:vAlign w:val="center"/>
          </w:tcPr>
          <w:p w14:paraId="6FB4369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评审因素</w:t>
            </w:r>
          </w:p>
        </w:tc>
        <w:tc>
          <w:tcPr>
            <w:tcW w:w="5739" w:type="dxa"/>
            <w:vAlign w:val="center"/>
          </w:tcPr>
          <w:p w14:paraId="6FA018D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评审标准</w:t>
            </w:r>
          </w:p>
        </w:tc>
      </w:tr>
      <w:tr w14:paraId="42BB4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" w:hRule="atLeast"/>
        </w:trPr>
        <w:tc>
          <w:tcPr>
            <w:tcW w:w="1648" w:type="dxa"/>
            <w:vAlign w:val="center"/>
          </w:tcPr>
          <w:p w14:paraId="1C3652A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2933" w:type="dxa"/>
            <w:gridSpan w:val="2"/>
            <w:vAlign w:val="center"/>
          </w:tcPr>
          <w:p w14:paraId="6B0CA00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分值构成</w:t>
            </w:r>
          </w:p>
          <w:p w14:paraId="5E655AC8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(总分100分)</w:t>
            </w:r>
          </w:p>
        </w:tc>
        <w:tc>
          <w:tcPr>
            <w:tcW w:w="5739" w:type="dxa"/>
            <w:vAlign w:val="center"/>
          </w:tcPr>
          <w:p w14:paraId="715883E5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报价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部分</w:t>
            </w:r>
            <w:r>
              <w:rPr>
                <w:rFonts w:ascii="宋体" w:hAnsi="宋体" w:eastAsia="宋体" w:cs="宋体"/>
                <w:szCs w:val="21"/>
              </w:rPr>
              <w:t>：2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szCs w:val="21"/>
              </w:rPr>
              <w:t>分</w:t>
            </w:r>
          </w:p>
          <w:p w14:paraId="6BC8CED7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技术部分：45分</w:t>
            </w:r>
          </w:p>
          <w:p w14:paraId="11B4089E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综合部分：3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Cs w:val="21"/>
              </w:rPr>
              <w:t>分</w:t>
            </w:r>
          </w:p>
        </w:tc>
      </w:tr>
      <w:tr w14:paraId="5F100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68" w:hRule="atLeast"/>
        </w:trPr>
        <w:tc>
          <w:tcPr>
            <w:tcW w:w="1648" w:type="dxa"/>
            <w:vAlign w:val="center"/>
          </w:tcPr>
          <w:p w14:paraId="25D08C1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2933" w:type="dxa"/>
            <w:gridSpan w:val="2"/>
            <w:vAlign w:val="center"/>
          </w:tcPr>
          <w:p w14:paraId="4C9AD5A0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报价评分标准</w:t>
            </w:r>
          </w:p>
          <w:p w14:paraId="6B02265A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szCs w:val="21"/>
              </w:rPr>
              <w:t>分</w:t>
            </w:r>
          </w:p>
        </w:tc>
        <w:tc>
          <w:tcPr>
            <w:tcW w:w="5739" w:type="dxa"/>
            <w:vAlign w:val="center"/>
          </w:tcPr>
          <w:p w14:paraId="6BF99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有效供应商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：通过初步评审（形式评审、资格评审、响应性评审）的供应商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。</w:t>
            </w:r>
          </w:p>
          <w:p w14:paraId="68674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（1）当通过初步评审的单位数量在5家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含5家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以上时，有效供应商的响应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去掉一个最高报价和一个最低报价的算术平均值为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基准价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。</w:t>
            </w:r>
          </w:p>
          <w:p w14:paraId="6001F6E7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（2）当通过初步评审的单位数量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小于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5家的，有效供应商的响应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的算术平均值为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基准价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。</w:t>
            </w:r>
          </w:p>
          <w:p w14:paraId="05C1A38B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偏差率=100%×（供应商响应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－评标基准价）/评标基准价</w:t>
            </w:r>
          </w:p>
          <w:p w14:paraId="0AFEF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（1）当有效供应商响应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等于评标基准价时，供应商得满分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分；</w:t>
            </w:r>
          </w:p>
          <w:p w14:paraId="1F83B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（2）当响应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高于评标基准价时，按每高于评标基准价1%扣1分的比例在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分的基础上进行扣分，扣完为止。</w:t>
            </w:r>
          </w:p>
          <w:p w14:paraId="3DD03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报价得分=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分-（供应商响应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-评标基准价）/评标基准价×1×100；</w:t>
            </w:r>
          </w:p>
          <w:p w14:paraId="75E25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（3）当响应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低于评标基准价时，按每低于评标基准价1%扣0.5分的比例在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分的基础上进行扣分，扣完为止。</w:t>
            </w:r>
          </w:p>
          <w:p w14:paraId="2F4D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报价得分=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分+（供应商响应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报价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不含增值税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-评标基准价）/评标基准价×0.5×100</w:t>
            </w:r>
          </w:p>
          <w:p w14:paraId="6B436BA7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备注：数值精度为小数点后二位，第三位小数进行四舍五入。</w:t>
            </w:r>
          </w:p>
        </w:tc>
      </w:tr>
      <w:tr w14:paraId="564F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5" w:hRule="atLeast"/>
        </w:trPr>
        <w:tc>
          <w:tcPr>
            <w:tcW w:w="1648" w:type="dxa"/>
            <w:vMerge w:val="restart"/>
            <w:vAlign w:val="center"/>
          </w:tcPr>
          <w:p w14:paraId="04934A4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55" w:type="dxa"/>
            <w:vMerge w:val="restart"/>
            <w:vAlign w:val="center"/>
          </w:tcPr>
          <w:p w14:paraId="2195BB1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bCs/>
                <w:szCs w:val="21"/>
              </w:rPr>
              <w:t>技术部分（45分）</w:t>
            </w:r>
          </w:p>
        </w:tc>
        <w:tc>
          <w:tcPr>
            <w:tcW w:w="1778" w:type="dxa"/>
            <w:vAlign w:val="center"/>
          </w:tcPr>
          <w:p w14:paraId="08385D9F">
            <w:pPr>
              <w:rPr>
                <w:rFonts w:hint="eastAsia"/>
              </w:rPr>
            </w:pPr>
            <w:r>
              <w:rPr>
                <w:rFonts w:hint="eastAsia"/>
              </w:rPr>
              <w:t>总技术服务工作</w:t>
            </w:r>
            <w:r>
              <w:t>方案</w:t>
            </w:r>
            <w:r>
              <w:br w:type="textWrapping"/>
            </w:r>
            <w:r>
              <w:t>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0</w:t>
            </w:r>
            <w:r>
              <w:t>分）</w:t>
            </w:r>
          </w:p>
        </w:tc>
        <w:tc>
          <w:tcPr>
            <w:tcW w:w="5739" w:type="dxa"/>
            <w:vAlign w:val="center"/>
          </w:tcPr>
          <w:p w14:paraId="025FB530">
            <w:pPr>
              <w:rPr>
                <w:rFonts w:hint="eastAsia"/>
              </w:rPr>
            </w:pPr>
            <w:r>
              <w:t>根据供应商隐患排查总体思路与方案的目标清晰性、完整性、严谨性、合理性，根据项目实际特点，合理应用安全生产相关法规标准（适用性、经济性、安全性）进行打分，分为优秀</w:t>
            </w:r>
            <w:r>
              <w:rPr>
                <w:rFonts w:hint="eastAsia"/>
                <w:lang w:val="en-US" w:eastAsia="zh-CN"/>
              </w:rPr>
              <w:t>8</w:t>
            </w:r>
            <w:r>
              <w:t>-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0</w:t>
            </w:r>
            <w:r>
              <w:t>分，良好</w:t>
            </w:r>
            <w:r>
              <w:rPr>
                <w:rFonts w:hint="eastAsia"/>
                <w:lang w:val="en-US" w:eastAsia="zh-CN"/>
              </w:rPr>
              <w:t>5</w:t>
            </w:r>
            <w:r>
              <w:t>-</w:t>
            </w:r>
            <w:r>
              <w:rPr>
                <w:rFonts w:hint="eastAsia"/>
                <w:lang w:val="en-US" w:eastAsia="zh-CN"/>
              </w:rPr>
              <w:t>8</w:t>
            </w:r>
            <w:r>
              <w:t>分，一般</w:t>
            </w:r>
            <w:r>
              <w:rPr>
                <w:rFonts w:hint="eastAsia"/>
                <w:lang w:val="en-US" w:eastAsia="zh-CN"/>
              </w:rPr>
              <w:t>0</w:t>
            </w:r>
            <w:r>
              <w:t>-</w:t>
            </w:r>
            <w:r>
              <w:rPr>
                <w:rFonts w:hint="eastAsia"/>
                <w:lang w:val="en-US" w:eastAsia="zh-CN"/>
              </w:rPr>
              <w:t>5</w:t>
            </w:r>
            <w:r>
              <w:t>分；缺项得0分。</w:t>
            </w:r>
          </w:p>
          <w:p w14:paraId="756C4991">
            <w:pPr>
              <w:rPr>
                <w:rFonts w:hint="eastAsia"/>
              </w:rPr>
            </w:pPr>
          </w:p>
        </w:tc>
      </w:tr>
      <w:tr w14:paraId="01D0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5" w:hRule="atLeast"/>
        </w:trPr>
        <w:tc>
          <w:tcPr>
            <w:tcW w:w="1648" w:type="dxa"/>
            <w:vMerge w:val="continue"/>
            <w:vAlign w:val="center"/>
          </w:tcPr>
          <w:p w14:paraId="36827AFE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46B53AE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78" w:type="dxa"/>
            <w:vAlign w:val="center"/>
          </w:tcPr>
          <w:p w14:paraId="31A1F84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技术</w:t>
            </w:r>
            <w:r>
              <w:t>人员组织与分工</w:t>
            </w:r>
            <w:r>
              <w:br w:type="textWrapping"/>
            </w:r>
            <w: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0</w:t>
            </w:r>
            <w:r>
              <w:t>分）</w:t>
            </w:r>
          </w:p>
        </w:tc>
        <w:tc>
          <w:tcPr>
            <w:tcW w:w="5739" w:type="dxa"/>
            <w:vAlign w:val="center"/>
          </w:tcPr>
          <w:p w14:paraId="2DBE8A65">
            <w:pPr>
              <w:rPr>
                <w:rFonts w:hint="eastAsia"/>
              </w:rPr>
            </w:pPr>
            <w:r>
              <w:t>根据供应商对项目服务实施过程中的人员组织流程安排进行评分：人员安排合理、科学高效</w:t>
            </w:r>
            <w:r>
              <w:rPr>
                <w:rFonts w:hint="eastAsia"/>
                <w:lang w:eastAsia="zh-CN"/>
              </w:rPr>
              <w:t>，</w:t>
            </w:r>
            <w:r>
              <w:t>能够满足项目需求，得</w:t>
            </w:r>
            <w:r>
              <w:rPr>
                <w:rFonts w:hint="eastAsia"/>
                <w:lang w:val="en-US" w:eastAsia="zh-CN"/>
              </w:rPr>
              <w:t>15</w:t>
            </w:r>
            <w:r>
              <w:t>-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0</w:t>
            </w:r>
            <w:r>
              <w:t>分；人员安排基本合理、比较科学、基本满足项目需求，得</w:t>
            </w:r>
            <w:r>
              <w:rPr>
                <w:rFonts w:hint="eastAsia"/>
                <w:lang w:val="en-US" w:eastAsia="zh-CN"/>
              </w:rPr>
              <w:t>10</w:t>
            </w:r>
            <w:r>
              <w:t>-</w:t>
            </w:r>
            <w:r>
              <w:rPr>
                <w:rFonts w:hint="eastAsia"/>
                <w:lang w:val="en-US" w:eastAsia="zh-CN"/>
              </w:rPr>
              <w:t>15</w:t>
            </w:r>
            <w:r>
              <w:t>分；人员安排不合理、不科学、无法满足项目需求，得0-</w:t>
            </w:r>
            <w:r>
              <w:rPr>
                <w:rFonts w:hint="eastAsia"/>
                <w:lang w:val="en-US" w:eastAsia="zh-CN"/>
              </w:rPr>
              <w:t>10</w:t>
            </w:r>
            <w:r>
              <w:t>分；缺项得0分。</w:t>
            </w:r>
          </w:p>
        </w:tc>
      </w:tr>
      <w:tr w14:paraId="7275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0" w:hRule="atLeast"/>
        </w:trPr>
        <w:tc>
          <w:tcPr>
            <w:tcW w:w="1648" w:type="dxa"/>
            <w:vMerge w:val="continue"/>
            <w:vAlign w:val="center"/>
          </w:tcPr>
          <w:p w14:paraId="258C977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1D9BB95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78" w:type="dxa"/>
            <w:vAlign w:val="center"/>
          </w:tcPr>
          <w:p w14:paraId="7A228B9B">
            <w:pPr>
              <w:rPr>
                <w:rFonts w:hint="eastAsia"/>
              </w:rPr>
            </w:pPr>
            <w:r>
              <w:t>服务质量保障措施（5分）</w:t>
            </w:r>
          </w:p>
        </w:tc>
        <w:tc>
          <w:tcPr>
            <w:tcW w:w="5739" w:type="dxa"/>
            <w:vAlign w:val="center"/>
          </w:tcPr>
          <w:p w14:paraId="1A52B851">
            <w:pPr>
              <w:rPr>
                <w:rFonts w:hint="eastAsia"/>
              </w:rPr>
            </w:pPr>
            <w:r>
              <w:t>根据供应商服务质量的保障措施的完整性、可行性、合理性进行打分，分为优秀3-5分，良好2-3分，一般0-2分；缺项得0分。</w:t>
            </w:r>
          </w:p>
        </w:tc>
      </w:tr>
      <w:tr w14:paraId="5763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8" w:hRule="atLeast"/>
        </w:trPr>
        <w:tc>
          <w:tcPr>
            <w:tcW w:w="1648" w:type="dxa"/>
            <w:vMerge w:val="continue"/>
            <w:vAlign w:val="center"/>
          </w:tcPr>
          <w:p w14:paraId="27172D5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3F3399F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78" w:type="dxa"/>
            <w:vAlign w:val="center"/>
          </w:tcPr>
          <w:p w14:paraId="39A611B0">
            <w:pPr>
              <w:rPr>
                <w:rFonts w:hint="eastAsia"/>
              </w:rPr>
            </w:pPr>
            <w:r>
              <w:t>进度保障措施</w:t>
            </w:r>
            <w:r>
              <w:br w:type="textWrapping"/>
            </w:r>
            <w:r>
              <w:t>（5分）</w:t>
            </w:r>
          </w:p>
        </w:tc>
        <w:tc>
          <w:tcPr>
            <w:tcW w:w="5739" w:type="dxa"/>
            <w:vAlign w:val="center"/>
          </w:tcPr>
          <w:p w14:paraId="330163EE">
            <w:pPr>
              <w:rPr>
                <w:rFonts w:hint="eastAsia"/>
              </w:rPr>
            </w:pPr>
            <w:r>
              <w:t>确保及时按要求提供隐患排查报告，保证服务高效高质，保证项目顺利进行的方案及措施，根据方案的完整性、可行性、合理性进行打分，分为优秀3-5分，良好2-3分，一般0-2分；缺项得0分。</w:t>
            </w:r>
          </w:p>
        </w:tc>
      </w:tr>
      <w:tr w14:paraId="58BE8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exact"/>
        </w:trPr>
        <w:tc>
          <w:tcPr>
            <w:tcW w:w="1648" w:type="dxa"/>
            <w:vMerge w:val="continue"/>
            <w:vAlign w:val="center"/>
          </w:tcPr>
          <w:p w14:paraId="0437C38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6A55838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78" w:type="dxa"/>
            <w:vAlign w:val="center"/>
          </w:tcPr>
          <w:p w14:paraId="6DA40904">
            <w:pPr>
              <w:rPr>
                <w:rFonts w:hint="eastAsia"/>
              </w:rPr>
            </w:pPr>
            <w:r>
              <w:t>重点及难点分析、合理化建议（5分）</w:t>
            </w:r>
          </w:p>
        </w:tc>
        <w:tc>
          <w:tcPr>
            <w:tcW w:w="5739" w:type="dxa"/>
            <w:vAlign w:val="center"/>
          </w:tcPr>
          <w:p w14:paraId="48FACE05">
            <w:pPr>
              <w:rPr>
                <w:rFonts w:hint="eastAsia"/>
              </w:rPr>
            </w:pPr>
            <w:r>
              <w:t>根据供应商提供的针对本项目有切合实际的重点及难点分析、合理化建议进行评分，分为优秀3-5分，良好2-3分，一般0-2分；缺项得0分。</w:t>
            </w:r>
          </w:p>
        </w:tc>
      </w:tr>
      <w:tr w14:paraId="60B71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648" w:type="dxa"/>
            <w:vMerge w:val="restart"/>
            <w:vAlign w:val="center"/>
          </w:tcPr>
          <w:p w14:paraId="3797B1C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155" w:type="dxa"/>
            <w:vMerge w:val="restart"/>
            <w:vAlign w:val="center"/>
          </w:tcPr>
          <w:p w14:paraId="518B3A24">
            <w:pPr>
              <w:rPr>
                <w:rFonts w:hint="eastAsia"/>
              </w:rPr>
            </w:pPr>
            <w:r>
              <w:t>综合部分（3</w:t>
            </w:r>
            <w:r>
              <w:rPr>
                <w:rFonts w:hint="eastAsia"/>
                <w:lang w:val="en-US" w:eastAsia="zh-CN"/>
              </w:rPr>
              <w:t>0</w:t>
            </w:r>
            <w:r>
              <w:t>分）</w:t>
            </w:r>
          </w:p>
        </w:tc>
        <w:tc>
          <w:tcPr>
            <w:tcW w:w="1778" w:type="dxa"/>
            <w:vAlign w:val="center"/>
          </w:tcPr>
          <w:p w14:paraId="654248AC">
            <w:pPr>
              <w:rPr>
                <w:rFonts w:hint="eastAsia"/>
              </w:rPr>
            </w:pPr>
            <w:r>
              <w:t>业绩</w:t>
            </w:r>
            <w:r>
              <w:br w:type="textWrapping"/>
            </w:r>
            <w:r>
              <w:t>（15分）</w:t>
            </w:r>
          </w:p>
        </w:tc>
        <w:tc>
          <w:tcPr>
            <w:tcW w:w="5739" w:type="dxa"/>
            <w:vAlign w:val="center"/>
          </w:tcPr>
          <w:p w14:paraId="3AEAE745">
            <w:pPr>
              <w:numPr>
                <w:ilvl w:val="-1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t>、供应商自</w:t>
            </w:r>
            <w:r>
              <w:rPr>
                <w:rFonts w:hint="eastAsia"/>
                <w:lang w:eastAsia="zh-CN"/>
              </w:rPr>
              <w:t>2023年1月1日</w:t>
            </w:r>
            <w:r>
              <w:t>以来（以合同签订时间为准）承接过单项合同金额</w:t>
            </w:r>
            <w:r>
              <w:rPr>
                <w:rFonts w:hint="eastAsia"/>
              </w:rPr>
              <w:t>5</w:t>
            </w:r>
            <w:r>
              <w:t>万元（含）以上的隐患排查/安全评价/安全咨询服务业绩，每提供一份得</w:t>
            </w:r>
            <w:r>
              <w:rPr>
                <w:rFonts w:hint="eastAsia"/>
                <w:lang w:val="en-US" w:eastAsia="zh-CN"/>
              </w:rPr>
              <w:t>3</w:t>
            </w:r>
            <w:r>
              <w:t>分，此项最多得</w:t>
            </w:r>
            <w:r>
              <w:rPr>
                <w:rFonts w:hint="eastAsia"/>
                <w:lang w:val="en-US" w:eastAsia="zh-CN"/>
              </w:rPr>
              <w:t>15</w:t>
            </w:r>
            <w:r>
              <w:t>分。</w:t>
            </w:r>
            <w:r>
              <w:br w:type="textWrapping"/>
            </w:r>
            <w:r>
              <w:t>注：需提供相关项目合同协议书，以上文件扫描件需加盖单位公章</w:t>
            </w:r>
            <w:r>
              <w:rPr>
                <w:rFonts w:hint="eastAsia"/>
              </w:rPr>
              <w:t>。</w:t>
            </w:r>
          </w:p>
          <w:p w14:paraId="0B518925">
            <w:pPr>
              <w:numPr>
                <w:ilvl w:val="-1"/>
                <w:numId w:val="0"/>
              </w:num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注：满足资格条件的业绩不参与评分。</w:t>
            </w:r>
          </w:p>
        </w:tc>
      </w:tr>
      <w:tr w14:paraId="771D0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48" w:type="dxa"/>
            <w:vMerge w:val="continue"/>
            <w:vAlign w:val="center"/>
          </w:tcPr>
          <w:p w14:paraId="6A96F1E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3BCA60F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78" w:type="dxa"/>
            <w:vAlign w:val="center"/>
          </w:tcPr>
          <w:p w14:paraId="5DF6B2DA">
            <w:pPr>
              <w:rPr>
                <w:rFonts w:hint="eastAsia"/>
              </w:rPr>
            </w:pPr>
            <w:r>
              <w:t>体系认证</w:t>
            </w:r>
            <w:r>
              <w:br w:type="textWrapping"/>
            </w:r>
            <w:r>
              <w:t>（</w:t>
            </w:r>
            <w:r>
              <w:rPr>
                <w:rFonts w:hint="eastAsia"/>
              </w:rPr>
              <w:t>10</w:t>
            </w:r>
            <w:r>
              <w:t>分）</w:t>
            </w:r>
          </w:p>
        </w:tc>
        <w:tc>
          <w:tcPr>
            <w:tcW w:w="5739" w:type="dxa"/>
            <w:vAlign w:val="center"/>
          </w:tcPr>
          <w:p w14:paraId="5C384E34">
            <w:pPr>
              <w:rPr>
                <w:rFonts w:hint="eastAsia"/>
              </w:rPr>
            </w:pPr>
            <w:r>
              <w:t>供应商具有有效期内的质量管理体系、环境管理体系和职业健康安全管理体系认证证书，齐全得</w:t>
            </w:r>
            <w:r>
              <w:rPr>
                <w:rFonts w:hint="eastAsia"/>
              </w:rPr>
              <w:t>10</w:t>
            </w:r>
            <w:r>
              <w:t>分，缺一项扣</w:t>
            </w:r>
            <w:r>
              <w:rPr>
                <w:rFonts w:hint="eastAsia"/>
              </w:rPr>
              <w:t>3.5</w:t>
            </w:r>
            <w:r>
              <w:t>分，扣完为止。</w:t>
            </w:r>
          </w:p>
        </w:tc>
      </w:tr>
      <w:tr w14:paraId="74388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648" w:type="dxa"/>
            <w:vMerge w:val="continue"/>
            <w:vAlign w:val="center"/>
          </w:tcPr>
          <w:p w14:paraId="2FCE327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14728334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78" w:type="dxa"/>
            <w:vAlign w:val="center"/>
          </w:tcPr>
          <w:p w14:paraId="08202D6C">
            <w:pPr>
              <w:rPr>
                <w:rFonts w:hint="eastAsia"/>
              </w:rPr>
            </w:pPr>
            <w:r>
              <w:t>服务承诺</w:t>
            </w:r>
            <w:r>
              <w:br w:type="textWrapping"/>
            </w:r>
            <w:r>
              <w:t>（</w:t>
            </w:r>
            <w:r>
              <w:rPr>
                <w:rFonts w:hint="eastAsia"/>
                <w:lang w:val="en-US" w:eastAsia="zh-CN"/>
              </w:rPr>
              <w:t>5</w:t>
            </w:r>
            <w:r>
              <w:t>分）</w:t>
            </w:r>
          </w:p>
        </w:tc>
        <w:tc>
          <w:tcPr>
            <w:tcW w:w="5739" w:type="dxa"/>
            <w:vAlign w:val="center"/>
          </w:tcPr>
          <w:p w14:paraId="557B3F4E">
            <w:pPr>
              <w:rPr>
                <w:rFonts w:hint="eastAsia"/>
              </w:rPr>
            </w:pPr>
            <w:r>
              <w:t>1、在服务过程中与采购人积极配合、为采购人排忧解难，服从采购人安排，按时保质保量顺利完成本项目隐患排查服务，并有实质性措施；如隐患排查报告不满足相关要求，无条件及时修正并反馈采购人，直至满足相关规定（0-</w:t>
            </w:r>
            <w:r>
              <w:rPr>
                <w:rFonts w:hint="eastAsia"/>
                <w:lang w:val="en-US" w:eastAsia="zh-CN"/>
              </w:rPr>
              <w:t>2</w:t>
            </w:r>
            <w:r>
              <w:t>分）。</w:t>
            </w:r>
            <w:r>
              <w:br w:type="textWrapping"/>
            </w:r>
            <w:r>
              <w:t>2、现场服务响应：接到采购人通知后，2小时内响应，</w:t>
            </w:r>
            <w:r>
              <w:rPr>
                <w:rFonts w:hint="eastAsia"/>
                <w:lang w:val="en-US" w:eastAsia="zh-CN"/>
              </w:rPr>
              <w:t>12</w:t>
            </w:r>
            <w:r>
              <w:t>小时内到达现场（0-</w:t>
            </w:r>
            <w:r>
              <w:rPr>
                <w:rFonts w:hint="eastAsia"/>
                <w:lang w:val="en-US" w:eastAsia="zh-CN"/>
              </w:rPr>
              <w:t>2</w:t>
            </w:r>
            <w:r>
              <w:t>分）。</w:t>
            </w:r>
            <w:bookmarkStart w:id="0" w:name="_GoBack"/>
            <w:bookmarkEnd w:id="0"/>
            <w:r>
              <w:br w:type="textWrapping"/>
            </w:r>
            <w:r>
              <w:t>3、合理化建议：根据项目实际情况及自身经验向采购人提出全面性、可行性、具有实操性的合理化建议（0-</w:t>
            </w:r>
            <w:r>
              <w:rPr>
                <w:rFonts w:hint="eastAsia"/>
                <w:lang w:val="en-US" w:eastAsia="zh-CN"/>
              </w:rPr>
              <w:t>1</w:t>
            </w:r>
            <w:r>
              <w:t>分）。</w:t>
            </w:r>
          </w:p>
        </w:tc>
      </w:tr>
      <w:tr w14:paraId="258C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0320" w:type="dxa"/>
            <w:gridSpan w:val="4"/>
            <w:vAlign w:val="center"/>
          </w:tcPr>
          <w:p w14:paraId="36A9A786">
            <w:pPr>
              <w:rPr>
                <w:rFonts w:hint="eastAsia"/>
              </w:rPr>
            </w:pPr>
            <w:r>
              <w:t>供应商的最终得分：在各位评委完成对响应总报价、技术部分、综合部分的汇总后，评委打分的算术平均值，作为该供应商的最终得分。本办法计算过程中分值按四舍五入保留两位小数。</w:t>
            </w:r>
          </w:p>
        </w:tc>
      </w:tr>
    </w:tbl>
    <w:p w14:paraId="1EE189D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21"/>
    <w:rsid w:val="000C4C06"/>
    <w:rsid w:val="000C6310"/>
    <w:rsid w:val="002C51D5"/>
    <w:rsid w:val="00323CE1"/>
    <w:rsid w:val="005312F4"/>
    <w:rsid w:val="00713342"/>
    <w:rsid w:val="00877025"/>
    <w:rsid w:val="009814E2"/>
    <w:rsid w:val="00E16B5C"/>
    <w:rsid w:val="00E56F21"/>
    <w:rsid w:val="00E65564"/>
    <w:rsid w:val="00EC5733"/>
    <w:rsid w:val="00F633F0"/>
    <w:rsid w:val="122B717E"/>
    <w:rsid w:val="142E625A"/>
    <w:rsid w:val="183A1652"/>
    <w:rsid w:val="21B64155"/>
    <w:rsid w:val="24C41AD2"/>
    <w:rsid w:val="26C56794"/>
    <w:rsid w:val="30383700"/>
    <w:rsid w:val="3F2B504A"/>
    <w:rsid w:val="4FB70C06"/>
    <w:rsid w:val="63D36C09"/>
    <w:rsid w:val="6A3C0AA8"/>
    <w:rsid w:val="7FED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854</Words>
  <Characters>903</Characters>
  <Lines>58</Lines>
  <Paragraphs>36</Paragraphs>
  <TotalTime>8</TotalTime>
  <ScaleCrop>false</ScaleCrop>
  <LinksUpToDate>false</LinksUpToDate>
  <CharactersWithSpaces>903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2026-10-16T09:29:00Z</dcterms:created>
  <dc:creator>JF gu</dc:creator>
  <cp:lastModifiedBy>王锴</cp:lastModifiedBy>
  <dcterms:modified xsi:type="dcterms:W3CDTF">2026-10-23T04:57:57Z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eyJoZGlkIjoiMDZhNjMzZmU3YzU1OWVlOTU1NGEwNjE2ZDY0MmZiYWQiLCJ1c2VySWQiOiIxNDg5NjIyMzc5In0=</vt:lpwstr>
  </property>
  <property fmtid="{D5CDD505-2E9C-101B-9397-08002B2CF9AE}" pid="3" name="KSOProductBuildVer">
    <vt:lpwstr>2052-12.1.0.29161</vt:lpwstr>
  </property>
  <property fmtid="{D5CDD505-2E9C-101B-9397-08002B2CF9AE}" pid="4" name="ICV">
    <vt:lpwstr>B21A36E5BB624AD488FC66C6FC3EBC17_12</vt:lpwstr>
  </property>
</Properties>
</file>