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8AD26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变电站雷电防护装置定期检测服务项目</w:t>
      </w:r>
    </w:p>
    <w:p w14:paraId="6B41ECC3"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采购比选综合评分办法</w:t>
      </w:r>
    </w:p>
    <w:p w14:paraId="7FD4E438">
      <w:pPr>
        <w:ind w:left="0" w:leftChars="0" w:firstLine="0" w:firstLineChars="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AB1202C">
      <w:pPr>
        <w:jc w:val="both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一、资格性审查</w:t>
      </w:r>
    </w:p>
    <w:p w14:paraId="4127B43C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所有参选单位须先通过资格性审查，全部满足以下条件方可进入后续评分环节：</w:t>
      </w:r>
    </w:p>
    <w:p w14:paraId="2E0B6CB7">
      <w:pPr>
        <w:keepNext w:val="0"/>
        <w:keepLines w:val="0"/>
        <w:pageBreakBefore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</w:rPr>
        <w:t>(一)资质要求</w:t>
      </w:r>
    </w:p>
    <w:p w14:paraId="7B492C7C">
      <w:pPr>
        <w:pStyle w:val="14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响应人应具有独立的法人资质及有效的企业法人营业执照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。</w:t>
      </w:r>
    </w:p>
    <w:p w14:paraId="3B6485DE">
      <w:pPr>
        <w:pStyle w:val="14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响应人应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具有省气象局颁发的《雷电防护装置检测资质证》乙级或以上资质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具有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检验检测机构资质认定证书。</w:t>
      </w:r>
    </w:p>
    <w:p w14:paraId="53314E2F">
      <w:pPr>
        <w:pStyle w:val="14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响应人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配备的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现场检测技术人员不少于2名，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应具有有效期内的特种作业操作证（作业类别为登高作业或电工作业）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有效期内的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省级及以上气象学会颁发的雷电防护装置检测人员能力评价证书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 w14:paraId="63E2E06D">
      <w:pPr>
        <w:keepNext w:val="0"/>
        <w:keepLines w:val="0"/>
        <w:pageBreakBefore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</w:rPr>
        <w:t>)信誉要求</w:t>
      </w:r>
    </w:p>
    <w:p w14:paraId="1F4C9C38">
      <w:pPr>
        <w:keepNext w:val="0"/>
        <w:keepLines w:val="0"/>
        <w:pageBreakBefore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供应商需提供在“中国执行信息公开网”网站(https://zxgk.court.gov.cn/shixin)查询相关主体(含供应商、法定代表人)未列入失信被执行人查询信息，若被列入失信被执行人名单，拒绝其参与本次采购活动，其响应无效。</w:t>
      </w:r>
    </w:p>
    <w:p w14:paraId="669DD011">
      <w:pPr>
        <w:keepNext w:val="0"/>
        <w:keepLines w:val="0"/>
        <w:pageBreakBefore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2.对于供应商查询过程中输入信息或查询路径不准确等的，可由采购人在评审会议当天进行查询复核并留档，以查询复核结果为准。</w:t>
      </w:r>
    </w:p>
    <w:p w14:paraId="233DF053">
      <w:pPr>
        <w:keepNext w:val="0"/>
        <w:keepLines w:val="0"/>
        <w:pageBreakBefore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本项目采取资格后审，资格审查不合格的供应商的响应文件将按无效标处理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31F5DFD9">
      <w:pPr>
        <w:jc w:val="both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二、评分因素及权重</w:t>
      </w:r>
    </w:p>
    <w:p w14:paraId="0DFEB3B9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本次比选实行百分制综合评分，总分 100 分，评分因素及权重如下：</w:t>
      </w:r>
    </w:p>
    <w:tbl>
      <w:tblPr>
        <w:tblStyle w:val="1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9"/>
        <w:gridCol w:w="1569"/>
        <w:gridCol w:w="5867"/>
      </w:tblGrid>
      <w:tr w14:paraId="56D60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9DE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评分部分</w:t>
            </w:r>
          </w:p>
        </w:tc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E3F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权重分值</w:t>
            </w:r>
          </w:p>
        </w:tc>
        <w:tc>
          <w:tcPr>
            <w:tcW w:w="3256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863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核心评审方向</w:t>
            </w:r>
          </w:p>
        </w:tc>
      </w:tr>
      <w:tr w14:paraId="415DC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5EC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综合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部分</w:t>
            </w:r>
          </w:p>
        </w:tc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F74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25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分</w:t>
            </w:r>
          </w:p>
        </w:tc>
        <w:tc>
          <w:tcPr>
            <w:tcW w:w="3256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22B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企业资质</w:t>
            </w:r>
            <w:r>
              <w:rPr>
                <w:rFonts w:hint="eastAsia" w:ascii="仿宋_GB2312" w:hAnsi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能力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、现场检测技术人员</w:t>
            </w:r>
            <w:r>
              <w:rPr>
                <w:rFonts w:hint="eastAsia" w:ascii="仿宋_GB2312" w:hAnsi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能力</w:t>
            </w:r>
          </w:p>
        </w:tc>
      </w:tr>
      <w:tr w14:paraId="3C050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756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技术部分</w:t>
            </w:r>
          </w:p>
        </w:tc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D38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55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 xml:space="preserve"> 分</w:t>
            </w:r>
          </w:p>
        </w:tc>
        <w:tc>
          <w:tcPr>
            <w:tcW w:w="3256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9F5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服务总体方案与检测依据、工作重点、难点分析、质量控制与问题闭环管理、进度计划与保障措施、安全文明作业管理、成果交付与后续服务</w:t>
            </w:r>
          </w:p>
        </w:tc>
      </w:tr>
      <w:tr w14:paraId="5FB1C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E35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商务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部分</w:t>
            </w:r>
          </w:p>
        </w:tc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C31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20 分</w:t>
            </w:r>
          </w:p>
        </w:tc>
        <w:tc>
          <w:tcPr>
            <w:tcW w:w="3256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90F9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报价合理性、低价优先</w:t>
            </w:r>
          </w:p>
        </w:tc>
      </w:tr>
    </w:tbl>
    <w:p w14:paraId="375781D2">
      <w:pPr>
        <w:ind w:left="0" w:leftChars="0" w:firstLine="640" w:firstLineChars="200"/>
        <w:jc w:val="both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三、详细评分标准</w:t>
      </w:r>
    </w:p>
    <w:p w14:paraId="1FAA32B1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综合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部分（25 分）</w:t>
      </w:r>
    </w:p>
    <w:tbl>
      <w:tblPr>
        <w:tblStyle w:val="15"/>
        <w:tblW w:w="9061" w:type="dxa"/>
        <w:jc w:val="center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80"/>
        <w:gridCol w:w="898"/>
        <w:gridCol w:w="5783"/>
      </w:tblGrid>
      <w:tr w14:paraId="3964CBA7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8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D47C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评分项</w:t>
            </w:r>
          </w:p>
        </w:tc>
        <w:tc>
          <w:tcPr>
            <w:tcW w:w="898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786E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分值</w:t>
            </w:r>
          </w:p>
        </w:tc>
        <w:tc>
          <w:tcPr>
            <w:tcW w:w="5783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21759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评分标准</w:t>
            </w:r>
          </w:p>
        </w:tc>
      </w:tr>
      <w:tr w14:paraId="2FBA29C5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8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03512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企业资质能力</w:t>
            </w:r>
          </w:p>
        </w:tc>
        <w:tc>
          <w:tcPr>
            <w:tcW w:w="898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BDC3D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19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分</w:t>
            </w:r>
          </w:p>
        </w:tc>
        <w:tc>
          <w:tcPr>
            <w:tcW w:w="5783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5D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lang w:val="en-US" w:eastAsia="zh-CN" w:bidi="ar"/>
              </w:rPr>
              <w:t>1.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响应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</w:rPr>
              <w:t>人具有雷电防护装置检测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相关的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</w:rPr>
              <w:t>专利证书，每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有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</w:rPr>
              <w:t>一项得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</w:rPr>
              <w:t>分，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 w:bidi="ar"/>
              </w:rPr>
              <w:t>满分6分。</w:t>
            </w:r>
          </w:p>
          <w:p w14:paraId="66975B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lang w:val="en-US" w:eastAsia="zh-CN" w:bidi="ar"/>
              </w:rPr>
              <w:t>2.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人具有有效的国家版权局颁发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的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</w:rPr>
              <w:t>雷电防护装置检测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相关的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软件著作权登记证书，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</w:rPr>
              <w:t>每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有一项得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分，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满分6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分</w:t>
            </w:r>
          </w:p>
          <w:p w14:paraId="50C32977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 w:bidi="ar"/>
              </w:rPr>
              <w:t>3.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响应人具有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ISO9001质量管理体系认证，ISO14001环境管理体系认证，OHSAS18001职业健康安全管理体系认证，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</w:rPr>
              <w:t>每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有一项得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分，满分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分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 w:bidi="ar"/>
              </w:rPr>
              <w:t>。</w:t>
            </w:r>
          </w:p>
          <w:p w14:paraId="2423A534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 w:bidi="ar"/>
              </w:rPr>
              <w:t>4.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响应人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</w:rPr>
              <w:t>具有</w:t>
            </w:r>
            <w:r>
              <w:rPr>
                <w:rStyle w:val="18"/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  <w:lang w:eastAsia="zh-CN"/>
              </w:rPr>
              <w:t>高新技术企业证书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 w:bidi="ar"/>
              </w:rPr>
              <w:t>得1分。</w:t>
            </w:r>
          </w:p>
        </w:tc>
      </w:tr>
      <w:tr w14:paraId="256AC8FD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8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B95D1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现场检测技术人员</w:t>
            </w:r>
            <w:r>
              <w:rPr>
                <w:rFonts w:hint="eastAsia" w:ascii="仿宋_GB2312" w:hAnsi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能力</w:t>
            </w:r>
          </w:p>
        </w:tc>
        <w:tc>
          <w:tcPr>
            <w:tcW w:w="898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8881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lang w:val="en-US" w:eastAsia="zh-CN" w:bidi="ar"/>
              </w:rPr>
              <w:t>分</w:t>
            </w:r>
          </w:p>
        </w:tc>
        <w:tc>
          <w:tcPr>
            <w:tcW w:w="5783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4E93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 w:bidi="ar"/>
              </w:rPr>
              <w:t>资格要求：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响应人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配备的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现场检测技术人员不少于2名，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应具有有效期内的特种作业操作证（作业类别为登高作业或电工作业）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有效期内的</w:t>
            </w:r>
            <w:r>
              <w:rPr>
                <w:rFonts w:hint="default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省级及以上气象学会颁发的雷电防护装置检测人员能力评价证书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。</w:t>
            </w:r>
          </w:p>
          <w:p w14:paraId="01B46036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 w:bidi="ar"/>
              </w:rPr>
              <w:t>在资格要求基础上，每增加1名合格的验收技术人员得2分，满分6分。</w:t>
            </w:r>
          </w:p>
        </w:tc>
      </w:tr>
    </w:tbl>
    <w:p w14:paraId="79A21E56">
      <w:pPr>
        <w:ind w:left="0" w:leftChars="0" w:firstLine="0" w:firstLineChars="0"/>
        <w:jc w:val="both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</w:p>
    <w:p w14:paraId="12B39C80">
      <w:pPr>
        <w:ind w:left="0" w:leftChars="0" w:firstLine="320" w:firstLineChars="100"/>
        <w:jc w:val="both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（二）技术部分（5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 xml:space="preserve"> 分）</w:t>
      </w:r>
    </w:p>
    <w:p w14:paraId="2B4C8698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 服务总体方案与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检测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依据（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分）</w:t>
      </w:r>
    </w:p>
    <w:p w14:paraId="794D9DCC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编制质量责任制度、检验检测管理制度，方案完整、依据充分，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优秀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8-10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分，良好得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4-7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分，一般得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1-3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其他不得分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。</w:t>
      </w:r>
    </w:p>
    <w:p w14:paraId="77C9FC0C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 工作重点、难点分析（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分）</w:t>
      </w:r>
    </w:p>
    <w:p w14:paraId="4C7DAFFD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针对变电站检测范围（接闪器、引下线、接地网、SPD、等电位连接等），提出重点、难点分析并制定应对措施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优秀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11-15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分，良好得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6-10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分，一般得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1-5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其他不得分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4303EDED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 质量控制与问题闭环管理（10 分）</w:t>
      </w:r>
    </w:p>
    <w:p w14:paraId="0B02DBF7">
      <w:pPr>
        <w:jc w:val="both"/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 xml:space="preserve">不合格项（隐患）跟踪闭环流程：明确检测中发现防雷装置不合格项的分级（如紧急隐患/一般隐患）、整改建议、整改时限要求、复测验证标准，流程可落地，优秀得4-5分，良好得2-3分，一般得1分，其他不得分。 </w:t>
      </w:r>
    </w:p>
    <w:p w14:paraId="29492F65">
      <w:pPr>
        <w:jc w:val="both"/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检测数据质量与报告审核：原始记录规范、数据可追溯，检测报告执行三级审核制度，严格按规范出具结论，报告格式合规、数据完整，优秀得4-5分，良好得2-3分，一般得1分，其他不得分。</w:t>
      </w:r>
    </w:p>
    <w:p w14:paraId="4E65B39D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 进度计划与保障措施（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分）</w:t>
      </w:r>
    </w:p>
    <w:p w14:paraId="345F5784">
      <w:pPr>
        <w:jc w:val="both"/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 xml:space="preserve">检测进度计划：结合变电站运行检修计划、停电窗口制定分阶段检测进度，明确进场检测、数据整理、报告交付等关键节点，与现场运行方式高度匹配，优秀得3-4分，良好得2分，一般得1分，其他不得分。 </w:t>
      </w:r>
    </w:p>
    <w:p w14:paraId="72505116">
      <w:pPr>
        <w:jc w:val="both"/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保障与应急预案：针对恶劣天气（雷雨天禁测）、运行方式临时调整、设备突发缺陷等影响因素制定应对预案，保障措施具体可行，优秀得3-4分，良好得2分，一般得1分，其他不得分。</w:t>
      </w:r>
    </w:p>
    <w:p w14:paraId="40674BC3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 安全文明作业管理（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分）</w:t>
      </w:r>
    </w:p>
    <w:p w14:paraId="3965F6C5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严格遵守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《雷电防护装置检测作业安全规范》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，制定现场安全管理制度，明确专职安全责任人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，优秀得3-4分，良好得2分，一般得1分，其他不得分。</w:t>
      </w:r>
    </w:p>
    <w:p w14:paraId="5822A24A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针对高压设备区作业、高空作业等危险点制定专项防护措施与应急处置方案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，优秀得3-4分，良好得2分，一般得1分，其他不得分。</w:t>
      </w:r>
    </w:p>
    <w:p w14:paraId="57611C84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 成果交付与后续服务（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分）</w:t>
      </w:r>
    </w:p>
    <w:p w14:paraId="7FB7B44E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对检测发现的不合格项提供书面整改建议，并承诺在整改后配合复测，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提供承诺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得 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分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未提供承诺不得分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。</w:t>
      </w:r>
      <w:bookmarkStart w:id="0" w:name="_GoBack"/>
      <w:bookmarkEnd w:id="0"/>
    </w:p>
    <w:p w14:paraId="57824840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提供质保期内技术答疑、雷击事故技术分析等后续服务承诺，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提供承诺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得 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分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未提供承诺不得分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709B9834">
      <w:pPr>
        <w:jc w:val="both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（三）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商务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部分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（20 分）</w:t>
      </w:r>
    </w:p>
    <w:p w14:paraId="2BEA96F9">
      <w:pPr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评</w:t>
      </w:r>
      <w:r>
        <w:rPr>
          <w:rFonts w:hint="eastAsia" w:ascii="仿宋_GB2312" w:hAnsi="仿宋_GB2312" w:cs="仿宋_GB2312"/>
          <w:b/>
          <w:bCs/>
          <w:sz w:val="32"/>
          <w:szCs w:val="32"/>
          <w:highlight w:val="none"/>
          <w:lang w:val="en-US" w:eastAsia="zh-CN"/>
        </w:rPr>
        <w:t>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基准价：通过</w:t>
      </w:r>
      <w:r>
        <w:rPr>
          <w:rFonts w:hint="eastAsia" w:ascii="仿宋_GB2312" w:hAnsi="仿宋_GB2312" w:cs="仿宋_GB2312"/>
          <w:b/>
          <w:bCs/>
          <w:sz w:val="32"/>
          <w:szCs w:val="32"/>
          <w:highlight w:val="none"/>
          <w:lang w:val="en-US" w:eastAsia="zh-CN"/>
        </w:rPr>
        <w:t>资格性审查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的有效供应商报价为有效响应报价，评分基准价的计算办法如下：评分基准价=A*50%+B*50%，A为最高限价;B为所有效响应报价的算术平均值。</w:t>
      </w:r>
    </w:p>
    <w:p w14:paraId="2622583C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响应人商务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得分计算公式： </w:t>
      </w:r>
    </w:p>
    <w:p w14:paraId="48BD2EBA">
      <w:p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（1）当供应商报价等于评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lang w:val="en-US" w:eastAsia="zh-CN"/>
        </w:rPr>
        <w:t>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基准价时，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lang w:val="en-US" w:eastAsia="zh-CN"/>
        </w:rPr>
        <w:t>响应人商务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得分=20分；</w:t>
      </w:r>
    </w:p>
    <w:p w14:paraId="364EB284">
      <w:p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（2）当供应商报价高于评分基准价时，按照每高于评分基准价1%扣0.5分的比例在满分20分基础上进行扣分，扣完为止。即：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lang w:val="en-US" w:eastAsia="zh-CN"/>
        </w:rPr>
        <w:t>响应人商务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得分=20-（响应人的响应报价-评分基准价）/评分基准价×100×0.5。</w:t>
      </w:r>
    </w:p>
    <w:p w14:paraId="0736192C">
      <w:p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（3）当供应商报价低于评标基准价时，按照每低于评分基准价1%扣0.5分的比例在满分20分基础上进行扣分，扣完为止。即：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lang w:val="en-US" w:eastAsia="zh-CN"/>
        </w:rPr>
        <w:t>响应人商务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得分=20-（评分基准价-响应人的响应报价）/评分基准价×100×0.5。</w:t>
      </w:r>
    </w:p>
    <w:p w14:paraId="207E4B80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相关说明：</w:t>
      </w:r>
    </w:p>
    <w:p w14:paraId="4E841FB6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价格得分保留两位小数，四舍五入。</w:t>
      </w:r>
    </w:p>
    <w:p w14:paraId="15F95DFB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上述参与计算的最高限价和响应报价均为含税价。</w:t>
      </w:r>
    </w:p>
    <w:p w14:paraId="4B0F3C7A">
      <w:pPr>
        <w:jc w:val="both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四、评分计算与排序规则</w:t>
      </w:r>
    </w:p>
    <w:p w14:paraId="5F548C05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比选小组各成员独立打分，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人各分项得分的算术平均值为该部分最终得分（保留两位小数）。</w:t>
      </w:r>
    </w:p>
    <w:p w14:paraId="2C093173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得分 = 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综合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得分 + 技术得分 + 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商务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得分。</w:t>
      </w:r>
    </w:p>
    <w:p w14:paraId="0257D44C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按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得分由高到低排序，推荐前 3 名作为中选候选人。</w:t>
      </w:r>
    </w:p>
    <w:p w14:paraId="6918DAC4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得分相同时，依次按技术得分高→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综合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得分高→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报价低的优先级排序。</w:t>
      </w:r>
    </w:p>
    <w:p w14:paraId="2381AEBB">
      <w:pPr>
        <w:jc w:val="both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五、附则</w:t>
      </w:r>
    </w:p>
    <w:p w14:paraId="4BC755B3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本办法由比选人负责解释，评审过程严格保密。</w:t>
      </w:r>
    </w:p>
    <w:p w14:paraId="698D5CA2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若发现参选单位存在弄虚作假、串通比选等违法违规行为，立即取消其参选资格，已中选的取消中选资格。</w:t>
      </w:r>
    </w:p>
    <w:p w14:paraId="5EF21768">
      <w:pPr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评审过程中遇本办法未列明事项，由比选小组集体研究决定。</w:t>
      </w:r>
    </w:p>
    <w:sectPr>
      <w:footerReference r:id="rId5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39D17">
    <w:pPr>
      <w:pStyle w:val="12"/>
      <w:rPr>
        <w:rFonts w:hint="eastAsia" w:ascii="宋体" w:hAnsi="宋体" w:eastAsia="宋体" w:cs="宋体"/>
        <w:sz w:val="28"/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755897">
                          <w:pPr>
                            <w:pStyle w:val="1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755897">
                    <w:pPr>
                      <w:pStyle w:val="1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4D90A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44D90A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F0A83BF">
    <w:pPr>
      <w:pStyle w:val="12"/>
      <w:tabs>
        <w:tab w:val="left" w:pos="6629"/>
        <w:tab w:val="clear" w:pos="4153"/>
      </w:tabs>
      <w:rPr>
        <w:rFonts w:hint="eastAsia" w:eastAsia="仿宋_GB2312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1A3C06"/>
    <w:multiLevelType w:val="multilevel"/>
    <w:tmpl w:val="1E1A3C06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YzhhYTJkNmMzOGZjODhhMTQ4MTE0YzJkNzQ0NmIifQ=="/>
  </w:docVars>
  <w:rsids>
    <w:rsidRoot w:val="5A9500DF"/>
    <w:rsid w:val="005830A8"/>
    <w:rsid w:val="018B72E9"/>
    <w:rsid w:val="060A7D56"/>
    <w:rsid w:val="07336A89"/>
    <w:rsid w:val="08534B9D"/>
    <w:rsid w:val="0A6E4974"/>
    <w:rsid w:val="0ADA7FCA"/>
    <w:rsid w:val="0CCF1943"/>
    <w:rsid w:val="0DF107ED"/>
    <w:rsid w:val="0E8B6762"/>
    <w:rsid w:val="12044258"/>
    <w:rsid w:val="14500BD4"/>
    <w:rsid w:val="14A21F50"/>
    <w:rsid w:val="14A764A6"/>
    <w:rsid w:val="15BF18E5"/>
    <w:rsid w:val="16810304"/>
    <w:rsid w:val="176A6B79"/>
    <w:rsid w:val="1B765E86"/>
    <w:rsid w:val="250F09FA"/>
    <w:rsid w:val="25134F8E"/>
    <w:rsid w:val="252A06A8"/>
    <w:rsid w:val="26644B8A"/>
    <w:rsid w:val="28090A48"/>
    <w:rsid w:val="295647E3"/>
    <w:rsid w:val="29713789"/>
    <w:rsid w:val="2C30501C"/>
    <w:rsid w:val="2E550519"/>
    <w:rsid w:val="2FD2186A"/>
    <w:rsid w:val="33827CED"/>
    <w:rsid w:val="34196CE7"/>
    <w:rsid w:val="364E60C2"/>
    <w:rsid w:val="36E64758"/>
    <w:rsid w:val="372556DE"/>
    <w:rsid w:val="37B57AAB"/>
    <w:rsid w:val="385B0E4C"/>
    <w:rsid w:val="39AF2B11"/>
    <w:rsid w:val="3D261D32"/>
    <w:rsid w:val="3DF72DD9"/>
    <w:rsid w:val="3FDF4A89"/>
    <w:rsid w:val="412266B1"/>
    <w:rsid w:val="41AC038F"/>
    <w:rsid w:val="428D00BE"/>
    <w:rsid w:val="43663D51"/>
    <w:rsid w:val="44DD0E3B"/>
    <w:rsid w:val="45352A25"/>
    <w:rsid w:val="46506403"/>
    <w:rsid w:val="472E2D1F"/>
    <w:rsid w:val="47F06DD4"/>
    <w:rsid w:val="48286750"/>
    <w:rsid w:val="4A654D56"/>
    <w:rsid w:val="4DE15586"/>
    <w:rsid w:val="4FE7743A"/>
    <w:rsid w:val="505B4739"/>
    <w:rsid w:val="509251CF"/>
    <w:rsid w:val="512A0DD9"/>
    <w:rsid w:val="5240430D"/>
    <w:rsid w:val="52416F5E"/>
    <w:rsid w:val="52C438B8"/>
    <w:rsid w:val="541F6242"/>
    <w:rsid w:val="54BD6CB9"/>
    <w:rsid w:val="576B22D6"/>
    <w:rsid w:val="58C10E85"/>
    <w:rsid w:val="5A6E5909"/>
    <w:rsid w:val="5A9500DF"/>
    <w:rsid w:val="5B6F5408"/>
    <w:rsid w:val="5BA06984"/>
    <w:rsid w:val="64B14D8B"/>
    <w:rsid w:val="65DC302A"/>
    <w:rsid w:val="6691080B"/>
    <w:rsid w:val="67A15488"/>
    <w:rsid w:val="69414646"/>
    <w:rsid w:val="6C64017B"/>
    <w:rsid w:val="6EA4177D"/>
    <w:rsid w:val="6EB2430D"/>
    <w:rsid w:val="70C34349"/>
    <w:rsid w:val="74586AFF"/>
    <w:rsid w:val="75275B9B"/>
    <w:rsid w:val="77CF549F"/>
    <w:rsid w:val="78816A0A"/>
    <w:rsid w:val="78A553AF"/>
    <w:rsid w:val="79850DC6"/>
    <w:rsid w:val="79A8045C"/>
    <w:rsid w:val="7A291C6B"/>
    <w:rsid w:val="7AAF3036"/>
    <w:rsid w:val="7D454CFF"/>
    <w:rsid w:val="7E727DD2"/>
    <w:rsid w:val="7FD3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line="560" w:lineRule="exact"/>
      <w:ind w:left="0" w:firstLine="0" w:firstLineChars="0"/>
      <w:jc w:val="left"/>
      <w:outlineLvl w:val="0"/>
    </w:pPr>
    <w:rPr>
      <w:rFonts w:ascii="Times New Roman" w:hAnsi="Times New Roman" w:eastAsia="黑体" w:cs="Times New Roman"/>
      <w:kern w:val="44"/>
      <w:szCs w:val="30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ind w:left="0" w:leftChars="0" w:firstLine="0" w:firstLineChars="0"/>
      <w:jc w:val="left"/>
      <w:outlineLvl w:val="1"/>
    </w:pPr>
    <w:rPr>
      <w:rFonts w:ascii="Times New Roman" w:hAnsi="Times New Roman" w:eastAsia="楷体_GB2312" w:cs="Times New Roman"/>
      <w:bCs/>
      <w:szCs w:val="28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2"/>
        <w:numId w:val="1"/>
      </w:numPr>
      <w:spacing w:line="560" w:lineRule="exact"/>
      <w:ind w:left="0" w:firstLine="400" w:firstLineChars="0"/>
      <w:jc w:val="left"/>
      <w:outlineLvl w:val="2"/>
    </w:pPr>
    <w:rPr>
      <w:rFonts w:cs="Times New Roman"/>
      <w:kern w:val="0"/>
      <w:szCs w:val="20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560" w:lineRule="atLeast"/>
      <w:ind w:left="0" w:firstLine="402" w:firstLineChars="0"/>
      <w:outlineLvl w:val="3"/>
    </w:pPr>
    <w:rPr>
      <w:rFonts w:ascii="Arial" w:hAnsi="Arial" w:cs="Times New Roman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"/>
    <w:autoRedefine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7">
    <w:name w:val="Strong"/>
    <w:basedOn w:val="16"/>
    <w:qFormat/>
    <w:uiPriority w:val="0"/>
    <w:rPr>
      <w:b/>
    </w:rPr>
  </w:style>
  <w:style w:type="character" w:customStyle="1" w:styleId="18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2032</Words>
  <Characters>2168</Characters>
  <Lines>0</Lines>
  <Paragraphs>0</Paragraphs>
  <TotalTime>0</TotalTime>
  <ScaleCrop>false</ScaleCrop>
  <LinksUpToDate>false</LinksUpToDate>
  <CharactersWithSpaces>2204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2026-09-03T10:13:00Z</dcterms:created>
  <dc:creator>丁晨轩</dc:creator>
  <cp:lastModifiedBy>张景斌</cp:lastModifiedBy>
  <dcterms:modified xsi:type="dcterms:W3CDTF">2026-10-29T00:53:16Z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04099C50DF9C48A38B054FE4C2B3C00C_11</vt:lpwstr>
  </property>
  <property fmtid="{D5CDD505-2E9C-101B-9397-08002B2CF9AE}" pid="4" name="KSOTemplateDocerSaveRecord">
    <vt:lpwstr>eyJoZGlkIjoiMmQ2MTZkOWNkNTkxZDc3YzdkYzBmZTE5OThmMGNkZTQiLCJ1c2VySWQiOiI1ODU5MTkyOTAifQ==</vt:lpwstr>
  </property>
</Properties>
</file>