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F6B2E">
      <w:pPr>
        <w:ind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变电站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消防检测维保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服务项目</w:t>
      </w:r>
    </w:p>
    <w:p w14:paraId="2CAFB348">
      <w:pPr>
        <w:ind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采购比选综合评分办法</w:t>
      </w:r>
    </w:p>
    <w:p w14:paraId="6B7D9663">
      <w:pPr>
        <w:ind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BFF4DDF">
      <w:pPr>
        <w:ind w:firstLine="640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黑体" w:hAnsi="黑体" w:eastAsia="黑体" w:cs="黑体"/>
          <w:szCs w:val="32"/>
        </w:rPr>
        <w:t>一、资格性审查</w:t>
      </w:r>
    </w:p>
    <w:p w14:paraId="1C5B523C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所有参选单位须先通过资格性审查，全部满足以下条件方可进入后续评分环节：</w:t>
      </w:r>
    </w:p>
    <w:p w14:paraId="766E82B0">
      <w:pPr>
        <w:kinsoku w:val="0"/>
        <w:overflowPunct w:val="0"/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楷体" w:hAnsi="楷体" w:eastAsia="楷体" w:cs="楷体"/>
          <w:szCs w:val="32"/>
        </w:rPr>
        <w:t>(一)资质要求</w:t>
      </w:r>
    </w:p>
    <w:p w14:paraId="0898914D">
      <w:pPr>
        <w:kinsoku w:val="0"/>
        <w:overflowPunct w:val="0"/>
        <w:spacing w:line="240" w:lineRule="auto"/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1.响应人应具有独立的法人资质及有效的企业法人营业执照；</w:t>
      </w:r>
    </w:p>
    <w:p w14:paraId="1277846A">
      <w:pPr>
        <w:kinsoku w:val="0"/>
        <w:overflowPunct w:val="0"/>
        <w:spacing w:line="240" w:lineRule="auto"/>
        <w:ind w:firstLine="640"/>
        <w:rPr>
          <w:rFonts w:hint="eastAsia" w:ascii="仿宋" w:hAnsi="仿宋" w:eastAsia="仿宋" w:cs="仿宋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 xml:space="preserve">2. </w:t>
      </w:r>
      <w:r>
        <w:rPr>
          <w:rFonts w:hint="eastAsia" w:ascii="仿宋" w:hAnsi="仿宋" w:eastAsia="仿宋" w:cs="仿宋"/>
          <w:szCs w:val="32"/>
        </w:rPr>
        <w:t>响应人</w:t>
      </w:r>
      <w:r>
        <w:rPr>
          <w:rFonts w:hint="eastAsia" w:ascii="仿宋" w:hAnsi="仿宋" w:eastAsia="仿宋" w:cs="仿宋"/>
          <w:szCs w:val="32"/>
          <w:lang w:val="en-US" w:eastAsia="zh-CN"/>
        </w:rPr>
        <w:t>应在</w:t>
      </w:r>
      <w:r>
        <w:rPr>
          <w:rFonts w:hint="eastAsia" w:ascii="仿宋" w:hAnsi="仿宋" w:eastAsia="仿宋" w:cs="仿宋"/>
          <w:b w:val="0"/>
          <w:bCs w:val="0"/>
          <w:szCs w:val="32"/>
          <w:lang w:val="en-US" w:eastAsia="zh-CN"/>
        </w:rPr>
        <w:t>“社会消防技术服务信息系统”网站（shhxf.119.gov.cn）</w:t>
      </w:r>
      <w:r>
        <w:rPr>
          <w:rFonts w:hint="eastAsia" w:ascii="仿宋" w:hAnsi="仿宋" w:eastAsia="仿宋" w:cs="仿宋"/>
          <w:szCs w:val="32"/>
          <w:lang w:val="en-US" w:eastAsia="zh-CN"/>
        </w:rPr>
        <w:t>登记消防技术服务机构信息，登记类型应包含“</w:t>
      </w:r>
      <w:r>
        <w:rPr>
          <w:rFonts w:hint="eastAsia" w:ascii="仿宋" w:hAnsi="仿宋" w:eastAsia="仿宋" w:cs="仿宋"/>
          <w:szCs w:val="32"/>
        </w:rPr>
        <w:t>消防设施维护保养检测</w:t>
      </w:r>
      <w:r>
        <w:rPr>
          <w:rFonts w:hint="eastAsia" w:ascii="仿宋" w:hAnsi="仿宋" w:eastAsia="仿宋" w:cs="仿宋"/>
          <w:szCs w:val="32"/>
          <w:lang w:val="en-US" w:eastAsia="zh-CN"/>
        </w:rPr>
        <w:t>”；</w:t>
      </w:r>
      <w:r>
        <w:rPr>
          <w:rFonts w:hint="eastAsia" w:ascii="仿宋" w:hAnsi="仿宋" w:eastAsia="仿宋" w:cs="仿宋"/>
          <w:szCs w:val="32"/>
          <w:lang w:val="en-US" w:eastAsia="zh-CN"/>
        </w:rPr>
        <w:br w:type="textWrapping"/>
      </w:r>
      <w:r>
        <w:rPr>
          <w:rFonts w:hint="eastAsia" w:ascii="仿宋" w:hAnsi="仿宋" w:eastAsia="仿宋" w:cs="仿宋"/>
          <w:szCs w:val="32"/>
          <w:lang w:val="en-US" w:eastAsia="zh-CN"/>
        </w:rPr>
        <w:t xml:space="preserve">    3.响应人拟派项目负责人应具有一级注册消防工程师执业资格证书，并提供2026年任意连续3个月响应人为其缴纳社保的证明材料。</w:t>
      </w:r>
    </w:p>
    <w:p w14:paraId="5E59D044">
      <w:pPr>
        <w:kinsoku w:val="0"/>
        <w:overflowPunct w:val="0"/>
        <w:ind w:firstLine="640"/>
        <w:rPr>
          <w:rFonts w:hint="eastAsia"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(二)信誉要求</w:t>
      </w:r>
    </w:p>
    <w:p w14:paraId="3697ACC0">
      <w:pPr>
        <w:kinsoku w:val="0"/>
        <w:overflowPunct w:val="0"/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1.供应商需提供在“中国执行信息公开网”网站(https://zxgk.court.gov.cn/shixin)查询相关主体(含供应商、法定代表人)未列入失信被执行人查询信息，若被列入失信被执行人名单，拒绝其参与本次采购活动，其响应无效。</w:t>
      </w:r>
    </w:p>
    <w:p w14:paraId="73CB18BD">
      <w:pPr>
        <w:kinsoku w:val="0"/>
        <w:overflowPunct w:val="0"/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2.对于供应商查询过程中输入信息或查询路径不准确等的，可由采购人在评审会议当天进行查询复核并留档，以查询复核结果为准。</w:t>
      </w:r>
    </w:p>
    <w:p w14:paraId="51810671">
      <w:pPr>
        <w:kinsoku w:val="0"/>
        <w:overflowPunct w:val="0"/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本项目采取资格后审，资格审查不合格的供应商的响应文件将按无效标处理。</w:t>
      </w:r>
    </w:p>
    <w:p w14:paraId="5DE0F996">
      <w:pPr>
        <w:ind w:firstLine="64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二、评分因素及权重</w:t>
      </w:r>
    </w:p>
    <w:p w14:paraId="1AD3D5D9">
      <w:pPr>
        <w:ind w:firstLine="64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本次比选实行百分制综合评分，总分 100 分，评分因素及权重如下：</w:t>
      </w:r>
    </w:p>
    <w:tbl>
      <w:tblPr>
        <w:tblStyle w:val="4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9"/>
        <w:gridCol w:w="1569"/>
        <w:gridCol w:w="5867"/>
      </w:tblGrid>
      <w:tr w14:paraId="5D495E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F9DF4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评分部分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B755B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权重分值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1E41F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核心评审方向</w:t>
            </w:r>
          </w:p>
        </w:tc>
      </w:tr>
      <w:tr w14:paraId="2D4303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36A12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综合部分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91B56">
            <w:pPr>
              <w:widowControl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35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 xml:space="preserve"> 分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ABA8A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企业业绩、项目人员配备、体系管理证书</w:t>
            </w:r>
          </w:p>
        </w:tc>
      </w:tr>
      <w:tr w14:paraId="4832D1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E5E71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技术部分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A079E">
            <w:pPr>
              <w:widowControl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35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 xml:space="preserve"> 分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307E6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项目技术方案重点难点分析、消防检测服务方案、消防维保服务方案、隐患整改方案的编制、安全文明作业管理、服务承诺</w:t>
            </w:r>
          </w:p>
        </w:tc>
      </w:tr>
      <w:tr w14:paraId="0BCE92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2D2DB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商务部分</w:t>
            </w:r>
          </w:p>
        </w:tc>
        <w:tc>
          <w:tcPr>
            <w:tcW w:w="871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002CF">
            <w:pPr>
              <w:widowControl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30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 xml:space="preserve"> 分</w:t>
            </w:r>
          </w:p>
        </w:tc>
        <w:tc>
          <w:tcPr>
            <w:tcW w:w="3256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8A495">
            <w:pPr>
              <w:widowControl/>
              <w:ind w:firstLine="0" w:firstLineChars="0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报价合理性、低价优先</w:t>
            </w:r>
          </w:p>
        </w:tc>
      </w:tr>
    </w:tbl>
    <w:p w14:paraId="0ED2CAE4">
      <w:pPr>
        <w:ind w:firstLine="64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三、详细评分标准</w:t>
      </w:r>
    </w:p>
    <w:p w14:paraId="47BE4805">
      <w:pPr>
        <w:kinsoku w:val="0"/>
        <w:overflowPunct w:val="0"/>
        <w:autoSpaceDE w:val="0"/>
        <w:autoSpaceDN w:val="0"/>
        <w:ind w:firstLine="640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（一）综合部分（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35</w:t>
      </w:r>
      <w:r>
        <w:rPr>
          <w:rFonts w:hint="eastAsia" w:ascii="楷体_GB2312" w:hAnsi="楷体_GB2312" w:eastAsia="楷体_GB2312" w:cs="楷体_GB2312"/>
          <w:szCs w:val="32"/>
        </w:rPr>
        <w:t xml:space="preserve"> 分）</w:t>
      </w:r>
    </w:p>
    <w:tbl>
      <w:tblPr>
        <w:tblStyle w:val="4"/>
        <w:tblW w:w="9061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0"/>
        <w:gridCol w:w="898"/>
        <w:gridCol w:w="5783"/>
      </w:tblGrid>
      <w:tr w14:paraId="69FCD77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80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DD4AF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评分项</w:t>
            </w:r>
          </w:p>
        </w:tc>
        <w:tc>
          <w:tcPr>
            <w:tcW w:w="8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53ADA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分值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FB202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评分标准</w:t>
            </w:r>
          </w:p>
        </w:tc>
      </w:tr>
      <w:tr w14:paraId="0B2C2D3B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80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29074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企业业绩</w:t>
            </w:r>
          </w:p>
        </w:tc>
        <w:tc>
          <w:tcPr>
            <w:tcW w:w="8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C69AA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15分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00B58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>2023年1月1日以来（以合同签订时间为准），响应人具有类似消防检测维保项目业绩，每提供1项得3分，满分15分。</w:t>
            </w:r>
          </w:p>
          <w:p w14:paraId="0B82B7B8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Cs w:val="32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>注:响应人需提供合同扫描件并加盖公章，不提供不得分。</w:t>
            </w:r>
          </w:p>
        </w:tc>
      </w:tr>
      <w:tr w14:paraId="0E92B8FA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80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FDD04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项目人员配备</w:t>
            </w:r>
          </w:p>
        </w:tc>
        <w:tc>
          <w:tcPr>
            <w:tcW w:w="8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EBF38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14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bidi="ar"/>
              </w:rPr>
              <w:t>分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9A218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>1.响应人配备的服务团队中，除资质要求的项目负责人外，额外配备一级注册消防工程师，每多1人得3分，满分6分。</w:t>
            </w:r>
          </w:p>
          <w:p w14:paraId="25782F4F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>2.响应人配备的服务团队中，具有中级、高级消防设施操作员或建（构）筑物消防员证书的，每多1人得2分，满分8分。</w:t>
            </w:r>
          </w:p>
          <w:p w14:paraId="0DE81C46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>注：</w:t>
            </w:r>
          </w:p>
          <w:p w14:paraId="3FA26884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 xml:space="preserve">(1)人员不重复计分； </w:t>
            </w:r>
          </w:p>
          <w:p w14:paraId="795716DA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宋体"/>
              </w:rPr>
            </w:pPr>
            <w:r>
              <w:rPr>
                <w:rFonts w:hint="eastAsia" w:ascii="仿宋" w:hAnsi="仿宋" w:eastAsia="仿宋" w:cs="仿宋"/>
                <w:szCs w:val="32"/>
                <w:lang w:val="en-US" w:eastAsia="zh-CN"/>
              </w:rPr>
              <w:t>(2)以上人员需提供2026年任意连续3个月响应人为其缴纳社保的证明材料。未提供或提供证书和证明材料不符合要求的不得分。</w:t>
            </w:r>
          </w:p>
        </w:tc>
      </w:tr>
      <w:tr w14:paraId="4EA016A1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80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47DFE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体系管理证书</w:t>
            </w:r>
          </w:p>
        </w:tc>
        <w:tc>
          <w:tcPr>
            <w:tcW w:w="8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4BE83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Cs w:val="32"/>
                <w:lang w:val="en-US" w:eastAsia="zh-CN" w:bidi="ar"/>
              </w:rPr>
              <w:t>6分</w:t>
            </w:r>
          </w:p>
        </w:tc>
        <w:tc>
          <w:tcPr>
            <w:tcW w:w="5783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9A738">
            <w:pPr>
              <w:kinsoku w:val="0"/>
              <w:overflowPunct w:val="0"/>
              <w:autoSpaceDE w:val="0"/>
              <w:autoSpaceDN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Cs w:val="32"/>
                <w:lang w:bidi="ar"/>
              </w:rPr>
            </w:pPr>
            <w:r>
              <w:rPr>
                <w:rFonts w:hint="eastAsia" w:ascii="仿宋_GB2312" w:hAnsi="宋体"/>
                <w:lang w:val="en-US" w:eastAsia="zh-CN"/>
              </w:rPr>
              <w:t>响应人具有质量管理体系认证证书、环境管理体系认证证书、职业健康管理体系认证证书的，每有一项得2分，满分6分。</w:t>
            </w:r>
          </w:p>
        </w:tc>
      </w:tr>
    </w:tbl>
    <w:p w14:paraId="2DCF0465">
      <w:pPr>
        <w:ind w:firstLine="320" w:firstLineChars="100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（二）技术部分（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35</w:t>
      </w:r>
      <w:r>
        <w:rPr>
          <w:rFonts w:hint="eastAsia" w:ascii="楷体_GB2312" w:hAnsi="楷体_GB2312" w:eastAsia="楷体_GB2312" w:cs="楷体_GB2312"/>
          <w:szCs w:val="32"/>
        </w:rPr>
        <w:t>分）</w:t>
      </w:r>
    </w:p>
    <w:p w14:paraId="2B4C8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1.项目技术方案重点难点分析（8分）</w:t>
      </w:r>
    </w:p>
    <w:p w14:paraId="33C0C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重难点分析详细明确、全面、透彻、可行性程度高的，优秀得7-8分；</w:t>
      </w:r>
    </w:p>
    <w:p w14:paraId="03D54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重难点分析比较详细明确、全面、清晰、具有可操作性的，良好得4-6分；</w:t>
      </w:r>
    </w:p>
    <w:p w14:paraId="4EDAC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重难点分析不够详细、可操作性一般的得1-3分；</w:t>
      </w:r>
    </w:p>
    <w:p w14:paraId="4298E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④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缺项得0分。</w:t>
      </w:r>
    </w:p>
    <w:p w14:paraId="77C9F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2.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消防检测服务方案（6分）</w:t>
      </w:r>
    </w:p>
    <w:p w14:paraId="606FC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消防检测方案对项目需求的理解准确、完整、全面，技术路线，科学合理，可操作性强，完全满足或优于本项目采购需求，结合实际情况的个性化维保方案，优秀得5-6分； </w:t>
      </w:r>
    </w:p>
    <w:p w14:paraId="0D8CF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消防检测方案对项目需求的理解较正确，技术路线科学较可行，可操作性较强，基本满足本项目采购需求，良好得3-4分； </w:t>
      </w:r>
    </w:p>
    <w:p w14:paraId="53DB2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对项目需求的理解一般，技术路线一般，或方案可操作性一般的，得1-2分； </w:t>
      </w:r>
    </w:p>
    <w:p w14:paraId="4CC38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④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缺项得0分。</w:t>
      </w:r>
    </w:p>
    <w:p w14:paraId="30D11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.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消防维保服务方案（6分）</w:t>
      </w:r>
    </w:p>
    <w:p w14:paraId="13B08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消防维护保养方案对项目需求的理解准确、完整、全面，技术路线，科学合理，可操作性强，完全满足或优于本项目采购需求，结合实际情况的个性化维保方案，优秀得5-6分； </w:t>
      </w:r>
    </w:p>
    <w:p w14:paraId="1AFDA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消防维护保养方案对项目需求的理解较正确，技术路线科学较可行，可操作性较强，基本满足本项目采购需求，良好得3-4分； </w:t>
      </w:r>
    </w:p>
    <w:p w14:paraId="311E7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对项目需求的理解一般，技术路线一般，或方案可操作性一般的，得1-2分； </w:t>
      </w:r>
    </w:p>
    <w:p w14:paraId="2F31C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④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缺项得0分。</w:t>
      </w:r>
    </w:p>
    <w:p w14:paraId="4303E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.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隐患整改方案的编制（6分）</w:t>
      </w:r>
    </w:p>
    <w:p w14:paraId="3F166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响应人提供的消防安全隐患整改方案措施齐全，要点准确，优秀得5-6分；</w:t>
      </w:r>
    </w:p>
    <w:p w14:paraId="032AE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措施基本齐全，要点基本准确，良好得3-4分；</w:t>
      </w:r>
    </w:p>
    <w:p w14:paraId="2A9D6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措施不够齐全，要点不够准确，一般得1-2分；</w:t>
      </w:r>
    </w:p>
    <w:p w14:paraId="5441D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</w:rPr>
        <w:t>④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缺项得0分。</w:t>
      </w:r>
    </w:p>
    <w:p w14:paraId="40674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. 安全文明作业管理（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 分）</w:t>
      </w:r>
    </w:p>
    <w:p w14:paraId="58B6D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①项目安全保证体系与措施详细、充实、内容完整、编制合理的，优秀得5-6分；</w:t>
      </w:r>
    </w:p>
    <w:p w14:paraId="64003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②项目安全保证体系与措施较为详细、充实、内容完整、编制合理的，良好得3-4分；</w:t>
      </w:r>
    </w:p>
    <w:p w14:paraId="2AFC0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③项目安全保证体系与措施一般的，得1-2分。</w:t>
      </w:r>
    </w:p>
    <w:p w14:paraId="4C5D1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④缺项得0分。</w:t>
      </w:r>
    </w:p>
    <w:p w14:paraId="480AA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.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服务承诺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分）</w:t>
      </w:r>
    </w:p>
    <w:p w14:paraId="1FF13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提供检测维保后的整改复核、技术答疑等后续服务承诺，提供承诺得3分，未提供承诺不得分。</w:t>
      </w:r>
    </w:p>
    <w:p w14:paraId="46243097">
      <w:pPr>
        <w:ind w:firstLine="640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（三）商务部分（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Cs w:val="32"/>
        </w:rPr>
        <w:t>0 分）</w:t>
      </w:r>
    </w:p>
    <w:p w14:paraId="1D88D092">
      <w:pPr>
        <w:ind w:firstLine="643"/>
        <w:rPr>
          <w:rFonts w:hint="eastAsia" w:ascii="仿宋" w:hAnsi="仿宋" w:eastAsia="仿宋" w:cs="仿宋"/>
          <w:b/>
          <w:bCs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Cs w:val="32"/>
        </w:rPr>
        <w:t>评分基准价：通过资格性审查的有效</w:t>
      </w:r>
      <w:r>
        <w:rPr>
          <w:rFonts w:hint="eastAsia" w:ascii="仿宋" w:hAnsi="仿宋" w:eastAsia="仿宋" w:cs="仿宋"/>
          <w:b/>
          <w:bCs/>
          <w:szCs w:val="32"/>
          <w:lang w:val="en-US" w:eastAsia="zh-CN"/>
        </w:rPr>
        <w:t>响应人</w:t>
      </w:r>
      <w:r>
        <w:rPr>
          <w:rFonts w:hint="eastAsia" w:ascii="仿宋" w:hAnsi="仿宋" w:eastAsia="仿宋" w:cs="仿宋"/>
          <w:b/>
          <w:bCs/>
          <w:szCs w:val="32"/>
        </w:rPr>
        <w:t>报价为有效响应报价，评分基准价的计算办法如下：评分基准价=A*50%+B*50%，A为最高限价;B为所有效响应报价的算术平均值。</w:t>
      </w:r>
    </w:p>
    <w:p w14:paraId="55177F4D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响应人商务得分计算公式： </w:t>
      </w:r>
    </w:p>
    <w:p w14:paraId="017B8BE9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（1）当响应人报价等于评分基准价时，响应人商务得分=</w:t>
      </w:r>
      <w:r>
        <w:rPr>
          <w:rFonts w:hint="eastAsia" w:ascii="仿宋" w:hAnsi="仿宋" w:eastAsia="仿宋" w:cs="仿宋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Cs w:val="32"/>
        </w:rPr>
        <w:t>0分；</w:t>
      </w:r>
    </w:p>
    <w:p w14:paraId="7BB32270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（2）当响应人报价高于评分基准价时，按照每高于评分基准价1%扣0.5分的比例在满分</w:t>
      </w:r>
      <w:r>
        <w:rPr>
          <w:rFonts w:hint="eastAsia" w:ascii="仿宋" w:hAnsi="仿宋" w:eastAsia="仿宋" w:cs="仿宋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Cs w:val="32"/>
        </w:rPr>
        <w:t>0分基础上进行扣分，扣完为止。即：响应人商务得分=</w:t>
      </w:r>
      <w:r>
        <w:rPr>
          <w:rFonts w:hint="eastAsia" w:ascii="仿宋" w:hAnsi="仿宋" w:eastAsia="仿宋" w:cs="仿宋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Cs w:val="32"/>
        </w:rPr>
        <w:t>0-（响应人的响应报价-评分基准价）/评分基准价×100×0.5。</w:t>
      </w:r>
    </w:p>
    <w:p w14:paraId="223D16C1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（3）当响应人报价低于评标基准价时，按照每低于评分基准价1%扣0.5分的比例在满分</w:t>
      </w:r>
      <w:r>
        <w:rPr>
          <w:rFonts w:hint="eastAsia" w:ascii="仿宋" w:hAnsi="仿宋" w:eastAsia="仿宋" w:cs="仿宋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Cs w:val="32"/>
        </w:rPr>
        <w:t>0分基础上进行扣分，扣完为止。即：响应人商务得分=</w:t>
      </w:r>
      <w:r>
        <w:rPr>
          <w:rFonts w:hint="eastAsia" w:ascii="仿宋" w:hAnsi="仿宋" w:eastAsia="仿宋" w:cs="仿宋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Cs w:val="32"/>
        </w:rPr>
        <w:t>0-（评分基准价-响应人的响应报价）/评分基准价×100×0.5。</w:t>
      </w:r>
    </w:p>
    <w:p w14:paraId="1C9EB711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相关说明：</w:t>
      </w:r>
    </w:p>
    <w:p w14:paraId="0FE1CF8F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价格得分保留两位小数，四舍五入。</w:t>
      </w:r>
    </w:p>
    <w:p w14:paraId="64E46642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上述参与计算的最高限价和响应报价均为含税价。</w:t>
      </w:r>
    </w:p>
    <w:bookmarkEnd w:id="0"/>
    <w:p w14:paraId="2933CC7E">
      <w:pPr>
        <w:ind w:firstLine="64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四、评分计算与排序规则</w:t>
      </w:r>
    </w:p>
    <w:p w14:paraId="4338C16F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比选小组各成员独立打分，响应人各分项得分的算术平均值为该部分最终得分（保留两位小数）。</w:t>
      </w:r>
    </w:p>
    <w:p w14:paraId="736199FC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响应人总得分 = 综合得分 + 技术得分 + 商务得分。</w:t>
      </w:r>
    </w:p>
    <w:p w14:paraId="025D5083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按总得分由高到低排序，推荐前 3 名作为中选候选人。</w:t>
      </w:r>
    </w:p>
    <w:p w14:paraId="50E65DB9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总得分相同时，依次按技术得分高→综合得分高→响应报价低的优先级排序。</w:t>
      </w:r>
    </w:p>
    <w:p w14:paraId="30A65B86">
      <w:pPr>
        <w:ind w:firstLine="64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五、附则</w:t>
      </w:r>
    </w:p>
    <w:p w14:paraId="791201F0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本办法由比选人负责解释，评审过程严格保密。</w:t>
      </w:r>
    </w:p>
    <w:p w14:paraId="42E1415C">
      <w:pPr>
        <w:ind w:firstLine="64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若发现参选单位存在弄虚作假、串通比选等违法违规行为，立即取消其参选资格，已中选的取消中选资格。</w:t>
      </w:r>
    </w:p>
    <w:p w14:paraId="05E27A9D">
      <w:pPr>
        <w:ind w:firstLine="64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Cs w:val="32"/>
        </w:rPr>
        <w:t>评审过程中遇本办法未列明事项，由比选小组集体研究决定。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5D340">
    <w:pPr>
      <w:pStyle w:val="2"/>
      <w:ind w:firstLine="360"/>
      <w:rPr>
        <w:rFonts w:hint="eastAsia" w:ascii="宋体" w:hAnsi="宋体" w:eastAsia="宋体" w:cs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7074A3">
                          <w:pPr>
                            <w:pStyle w:val="2"/>
                            <w:ind w:firstLine="56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7074A3">
                    <w:pPr>
                      <w:pStyle w:val="2"/>
                      <w:ind w:firstLine="56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616B54">
                          <w:pPr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616B54">
                    <w:pPr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7C463562">
    <w:pPr>
      <w:pStyle w:val="2"/>
      <w:tabs>
        <w:tab w:val="left" w:pos="6629"/>
        <w:tab w:val="clear" w:pos="4153"/>
      </w:tabs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4889D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7360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79671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49F2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0ED01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13ACA"/>
    <w:rsid w:val="297E5919"/>
    <w:rsid w:val="44621BA8"/>
    <w:rsid w:val="61B05145"/>
    <w:rsid w:val="798A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364</Words>
  <Characters>420</Characters>
  <Lines>0</Lines>
  <Paragraphs>0</Paragraphs>
  <TotalTime>2</TotalTime>
  <ScaleCrop>false</ScaleCrop>
  <LinksUpToDate>false</LinksUpToDate>
  <CharactersWithSpaces>425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2026-10-29T07:28:00Z</dcterms:created>
  <dc:creator>duanshujie</dc:creator>
  <cp:lastModifiedBy>张景斌</cp:lastModifiedBy>
  <dcterms:modified xsi:type="dcterms:W3CDTF">2026-10-29T09:57:45Z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eyJoZGlkIjoiMmQ2MTZkOWNkNTkxZDc3YzdkYzBmZTE5OThmMGNkZTQiLCJ1c2VySWQiOiI1ODU5MTkyOTAifQ==</vt:lpwstr>
  </property>
  <property fmtid="{D5CDD505-2E9C-101B-9397-08002B2CF9AE}" pid="4" name="ICV">
    <vt:lpwstr>9EFB02079BB546F4B20F06EA5FB6702C_12</vt:lpwstr>
  </property>
</Properties>
</file>