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2F88F">
      <w:pPr>
        <w:jc w:val="center"/>
        <w:rPr>
          <w:rFonts w:hint="eastAsia" w:ascii="宋体" w:hAnsi="宋体" w:eastAsia="宋体" w:cs="宋体"/>
          <w:b/>
          <w:bCs/>
          <w:sz w:val="32"/>
          <w:szCs w:val="32"/>
        </w:rPr>
      </w:pPr>
      <w:r>
        <w:rPr>
          <w:rFonts w:hint="eastAsia" w:ascii="宋体" w:hAnsi="宋体" w:eastAsia="宋体" w:cs="宋体"/>
          <w:b/>
          <w:bCs/>
          <w:sz w:val="32"/>
          <w:szCs w:val="32"/>
        </w:rPr>
        <w:t>第</w:t>
      </w:r>
      <w:r>
        <w:rPr>
          <w:rFonts w:hint="eastAsia" w:ascii="宋体" w:hAnsi="宋体" w:eastAsia="宋体" w:cs="宋体"/>
          <w:b/>
          <w:bCs/>
          <w:sz w:val="32"/>
          <w:szCs w:val="32"/>
          <w:lang w:val="en-US" w:eastAsia="zh-CN"/>
        </w:rPr>
        <w:t>一</w:t>
      </w:r>
      <w:r>
        <w:rPr>
          <w:rFonts w:hint="eastAsia" w:ascii="宋体" w:hAnsi="宋体" w:eastAsia="宋体" w:cs="宋体"/>
          <w:b/>
          <w:bCs/>
          <w:sz w:val="32"/>
          <w:szCs w:val="32"/>
        </w:rPr>
        <w:t>章评分表（综合评分法）</w:t>
      </w:r>
    </w:p>
    <w:p w14:paraId="41D44B90">
      <w:pPr>
        <w:jc w:val="center"/>
        <w:rPr>
          <w:rFonts w:hint="eastAsia" w:ascii="宋体" w:hAnsi="宋体" w:eastAsia="宋体" w:cs="宋体"/>
          <w:b/>
          <w:bCs/>
          <w:sz w:val="32"/>
          <w:szCs w:val="32"/>
        </w:rPr>
      </w:pPr>
    </w:p>
    <w:p w14:paraId="6D725230">
      <w:pPr>
        <w:jc w:val="center"/>
        <w:rPr>
          <w:rFonts w:hint="eastAsia" w:ascii="宋体" w:hAnsi="宋体" w:eastAsia="宋体" w:cs="宋体"/>
          <w:b/>
          <w:bCs/>
          <w:sz w:val="24"/>
          <w:szCs w:val="24"/>
        </w:rPr>
      </w:pPr>
      <w:r>
        <w:rPr>
          <w:rFonts w:hint="eastAsia" w:ascii="宋体" w:hAnsi="宋体" w:eastAsia="宋体" w:cs="宋体"/>
          <w:b/>
          <w:bCs/>
          <w:sz w:val="24"/>
          <w:szCs w:val="24"/>
        </w:rPr>
        <w:t>本次</w:t>
      </w:r>
      <w:r>
        <w:rPr>
          <w:rFonts w:hint="eastAsia" w:ascii="宋体" w:hAnsi="宋体" w:eastAsia="宋体" w:cs="宋体"/>
          <w:b/>
          <w:bCs/>
          <w:sz w:val="24"/>
          <w:szCs w:val="24"/>
          <w:lang w:val="en-US" w:eastAsia="zh-CN"/>
        </w:rPr>
        <w:t>比选</w:t>
      </w:r>
      <w:r>
        <w:rPr>
          <w:rFonts w:hint="eastAsia" w:ascii="宋体" w:hAnsi="宋体" w:eastAsia="宋体" w:cs="宋体"/>
          <w:b/>
          <w:bCs/>
          <w:sz w:val="24"/>
          <w:szCs w:val="24"/>
        </w:rPr>
        <w:t>采购评分表满分为100分，具体评分标准如下：</w:t>
      </w:r>
    </w:p>
    <w:p w14:paraId="2154C7B4">
      <w:pPr>
        <w:jc w:val="both"/>
        <w:rPr>
          <w:rFonts w:hint="eastAsia" w:ascii="宋体" w:hAnsi="宋体" w:eastAsia="宋体" w:cs="宋体"/>
          <w:b/>
          <w:bCs/>
          <w:sz w:val="32"/>
          <w:szCs w:val="32"/>
        </w:rPr>
      </w:pPr>
    </w:p>
    <w:tbl>
      <w:tblPr>
        <w:tblStyle w:val="5"/>
        <w:tblW w:w="94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6"/>
        <w:gridCol w:w="1547"/>
        <w:gridCol w:w="1513"/>
        <w:gridCol w:w="5081"/>
      </w:tblGrid>
      <w:tr w14:paraId="5DEA9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tcPr>
          <w:p w14:paraId="06C59398">
            <w:pPr>
              <w:widowControl w:val="0"/>
              <w:jc w:val="center"/>
              <w:rPr>
                <w:rFonts w:hint="eastAsia" w:ascii="宋体" w:hAnsi="宋体" w:eastAsia="宋体" w:cs="宋体"/>
                <w:b/>
                <w:bCs/>
                <w:color w:val="auto"/>
                <w:sz w:val="32"/>
                <w:szCs w:val="32"/>
                <w:vertAlign w:val="baseline"/>
              </w:rPr>
            </w:pPr>
            <w:r>
              <w:rPr>
                <w:rFonts w:hint="eastAsia" w:ascii="仿宋_GB2312" w:hAnsi="仿宋_GB2312" w:eastAsia="仿宋_GB2312" w:cs="仿宋_GB2312"/>
                <w:b/>
                <w:bCs/>
                <w:color w:val="auto"/>
                <w:sz w:val="24"/>
                <w:szCs w:val="24"/>
              </w:rPr>
              <w:t>条款号</w:t>
            </w:r>
          </w:p>
        </w:tc>
        <w:tc>
          <w:tcPr>
            <w:tcW w:w="1547" w:type="dxa"/>
          </w:tcPr>
          <w:p w14:paraId="7009252F">
            <w:pPr>
              <w:widowControl w:val="0"/>
              <w:jc w:val="center"/>
              <w:rPr>
                <w:rFonts w:hint="eastAsia" w:ascii="宋体" w:hAnsi="宋体" w:eastAsia="宋体" w:cs="宋体"/>
                <w:b/>
                <w:bCs/>
                <w:color w:val="auto"/>
                <w:sz w:val="32"/>
                <w:szCs w:val="32"/>
                <w:vertAlign w:val="baseline"/>
              </w:rPr>
            </w:pPr>
            <w:r>
              <w:rPr>
                <w:rFonts w:hint="eastAsia" w:ascii="仿宋_GB2312" w:hAnsi="仿宋_GB2312" w:eastAsia="仿宋_GB2312" w:cs="仿宋_GB2312"/>
                <w:b/>
                <w:bCs/>
                <w:color w:val="auto"/>
                <w:sz w:val="24"/>
                <w:szCs w:val="24"/>
              </w:rPr>
              <w:t>评审因素</w:t>
            </w:r>
          </w:p>
        </w:tc>
        <w:tc>
          <w:tcPr>
            <w:tcW w:w="6594" w:type="dxa"/>
            <w:gridSpan w:val="2"/>
          </w:tcPr>
          <w:p w14:paraId="0EABB81C">
            <w:pPr>
              <w:widowControl w:val="0"/>
              <w:jc w:val="center"/>
              <w:rPr>
                <w:rFonts w:hint="eastAsia" w:ascii="宋体" w:hAnsi="宋体" w:eastAsia="宋体" w:cs="宋体"/>
                <w:b/>
                <w:bCs/>
                <w:color w:val="auto"/>
                <w:sz w:val="32"/>
                <w:szCs w:val="32"/>
                <w:vertAlign w:val="baseline"/>
              </w:rPr>
            </w:pPr>
            <w:r>
              <w:rPr>
                <w:rFonts w:hint="eastAsia" w:ascii="仿宋_GB2312" w:hAnsi="仿宋_GB2312" w:eastAsia="仿宋_GB2312" w:cs="仿宋_GB2312"/>
                <w:b/>
                <w:bCs/>
                <w:color w:val="auto"/>
                <w:sz w:val="24"/>
                <w:szCs w:val="24"/>
              </w:rPr>
              <w:t>评审标准</w:t>
            </w:r>
          </w:p>
        </w:tc>
      </w:tr>
      <w:tr w14:paraId="767D5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tcPr>
          <w:p w14:paraId="2C1DC13A">
            <w:pPr>
              <w:widowControl w:val="0"/>
              <w:jc w:val="both"/>
              <w:rPr>
                <w:rFonts w:hint="eastAsia" w:ascii="宋体" w:hAnsi="宋体" w:eastAsia="宋体" w:cs="宋体"/>
                <w:b/>
                <w:bCs/>
                <w:color w:val="auto"/>
                <w:sz w:val="32"/>
                <w:szCs w:val="32"/>
                <w:vertAlign w:val="baseline"/>
              </w:rPr>
            </w:pPr>
            <w:r>
              <w:rPr>
                <w:rFonts w:hint="eastAsia" w:ascii="仿宋_GB2312" w:hAnsi="仿宋_GB2312" w:eastAsia="仿宋_GB2312" w:cs="仿宋_GB2312"/>
                <w:color w:val="auto"/>
                <w:sz w:val="24"/>
                <w:szCs w:val="24"/>
              </w:rPr>
              <w:t>1初步评审</w:t>
            </w:r>
          </w:p>
        </w:tc>
        <w:tc>
          <w:tcPr>
            <w:tcW w:w="1547" w:type="dxa"/>
          </w:tcPr>
          <w:p w14:paraId="1885F876">
            <w:pPr>
              <w:widowControl w:val="0"/>
              <w:jc w:val="both"/>
              <w:rPr>
                <w:rFonts w:hint="eastAsia" w:ascii="宋体" w:hAnsi="宋体" w:eastAsia="宋体" w:cs="宋体"/>
                <w:b/>
                <w:bCs/>
                <w:color w:val="auto"/>
                <w:sz w:val="32"/>
                <w:szCs w:val="32"/>
                <w:vertAlign w:val="baseline"/>
              </w:rPr>
            </w:pPr>
            <w:r>
              <w:rPr>
                <w:rFonts w:hint="eastAsia" w:ascii="仿宋_GB2312" w:hAnsi="仿宋_GB2312" w:eastAsia="仿宋_GB2312" w:cs="仿宋_GB2312"/>
                <w:color w:val="auto"/>
                <w:sz w:val="24"/>
                <w:szCs w:val="24"/>
              </w:rPr>
              <w:t>1.1资格评审</w:t>
            </w:r>
          </w:p>
        </w:tc>
        <w:tc>
          <w:tcPr>
            <w:tcW w:w="1513" w:type="dxa"/>
            <w:vAlign w:val="top"/>
          </w:tcPr>
          <w:p w14:paraId="3E9FB60C">
            <w:pPr>
              <w:widowControl w:val="0"/>
              <w:jc w:val="both"/>
              <w:rPr>
                <w:rFonts w:hint="eastAsia" w:ascii="宋体" w:hAnsi="宋体" w:eastAsia="宋体" w:cs="宋体"/>
                <w:b/>
                <w:bCs/>
                <w:color w:val="auto"/>
                <w:sz w:val="32"/>
                <w:szCs w:val="32"/>
                <w:vertAlign w:val="baseline"/>
              </w:rPr>
            </w:pPr>
            <w:r>
              <w:rPr>
                <w:rFonts w:hint="eastAsia" w:ascii="仿宋_GB2312" w:hAnsi="仿宋_GB2312" w:eastAsia="仿宋_GB2312" w:cs="仿宋_GB2312"/>
                <w:color w:val="auto"/>
                <w:sz w:val="24"/>
                <w:szCs w:val="24"/>
                <w:lang w:val="en-US" w:eastAsia="zh-CN"/>
              </w:rPr>
              <w:t>资质要求</w:t>
            </w:r>
          </w:p>
        </w:tc>
        <w:tc>
          <w:tcPr>
            <w:tcW w:w="5081" w:type="dxa"/>
            <w:vAlign w:val="top"/>
          </w:tcPr>
          <w:p w14:paraId="4A5077FC">
            <w:pPr>
              <w:widowControl w:val="0"/>
              <w:rPr>
                <w:rFonts w:hint="eastAsia" w:ascii="宋体" w:hAnsi="宋体" w:eastAsia="仿宋_GB2312" w:cs="宋体"/>
                <w:b/>
                <w:bCs/>
                <w:color w:val="auto"/>
                <w:sz w:val="32"/>
                <w:szCs w:val="32"/>
                <w:vertAlign w:val="baseline"/>
                <w:lang w:val="en-US" w:eastAsia="zh-CN"/>
              </w:rPr>
            </w:pPr>
            <w:r>
              <w:rPr>
                <w:rFonts w:hint="eastAsia" w:ascii="仿宋_GB2312" w:hAnsi="仿宋_GB2312" w:eastAsia="仿宋_GB2312" w:cs="仿宋_GB2312"/>
                <w:color w:val="auto"/>
                <w:sz w:val="24"/>
                <w:szCs w:val="24"/>
                <w:lang w:val="en-US" w:eastAsia="zh-CN"/>
              </w:rPr>
              <w:t>供应商需满足采购公告中的供应商资格要求。报价不超过最高限价8万元。</w:t>
            </w:r>
          </w:p>
        </w:tc>
      </w:tr>
      <w:tr w14:paraId="17A6B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7" w:type="dxa"/>
            <w:gridSpan w:val="4"/>
          </w:tcPr>
          <w:p w14:paraId="5EDBB496">
            <w:pPr>
              <w:widowControl w:val="0"/>
              <w:jc w:val="center"/>
              <w:rPr>
                <w:rFonts w:hint="eastAsia" w:ascii="宋体" w:hAnsi="宋体" w:eastAsia="宋体" w:cs="宋体"/>
                <w:b/>
                <w:bCs/>
                <w:color w:val="auto"/>
                <w:sz w:val="32"/>
                <w:szCs w:val="32"/>
                <w:vertAlign w:val="baseline"/>
              </w:rPr>
            </w:pPr>
            <w:r>
              <w:rPr>
                <w:rFonts w:hint="eastAsia" w:ascii="仿宋_GB2312" w:hAnsi="仿宋_GB2312" w:eastAsia="仿宋_GB2312" w:cs="仿宋_GB2312"/>
                <w:b/>
                <w:bCs/>
                <w:color w:val="auto"/>
                <w:sz w:val="24"/>
                <w:szCs w:val="24"/>
                <w:lang w:val="en-US" w:eastAsia="zh-CN"/>
              </w:rPr>
              <w:t>报价人不满足资格评审因素，报价无效。</w:t>
            </w:r>
          </w:p>
        </w:tc>
      </w:tr>
      <w:tr w14:paraId="77FA5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vMerge w:val="restart"/>
          </w:tcPr>
          <w:p w14:paraId="369EEC49">
            <w:pPr>
              <w:widowControl w:val="0"/>
              <w:jc w:val="center"/>
              <w:rPr>
                <w:rFonts w:hint="default" w:ascii="宋体" w:hAnsi="宋体" w:eastAsia="宋体" w:cs="宋体"/>
                <w:b/>
                <w:bCs/>
                <w:color w:val="auto"/>
                <w:sz w:val="32"/>
                <w:szCs w:val="32"/>
                <w:vertAlign w:val="baseline"/>
                <w:lang w:val="en-US" w:eastAsia="zh-CN"/>
              </w:rPr>
            </w:pPr>
            <w:r>
              <w:rPr>
                <w:rFonts w:hint="eastAsia" w:ascii="仿宋_GB2312" w:hAnsi="仿宋_GB2312" w:eastAsia="仿宋_GB2312" w:cs="仿宋_GB2312"/>
                <w:color w:val="auto"/>
                <w:sz w:val="24"/>
                <w:szCs w:val="24"/>
                <w:lang w:val="en-US" w:eastAsia="zh-CN"/>
              </w:rPr>
              <w:t>2详细评审</w:t>
            </w:r>
          </w:p>
        </w:tc>
        <w:tc>
          <w:tcPr>
            <w:tcW w:w="1547" w:type="dxa"/>
            <w:vMerge w:val="restart"/>
          </w:tcPr>
          <w:p w14:paraId="299A7A9B">
            <w:pPr>
              <w:widowControl w:val="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2.1律所要求</w:t>
            </w:r>
          </w:p>
          <w:p w14:paraId="478D9AF5">
            <w:pPr>
              <w:widowControl w:val="0"/>
              <w:jc w:val="center"/>
              <w:rPr>
                <w:rFonts w:hint="eastAsia" w:ascii="宋体" w:hAnsi="宋体" w:eastAsia="宋体" w:cs="宋体"/>
                <w:b/>
                <w:bCs/>
                <w:color w:val="auto"/>
                <w:sz w:val="32"/>
                <w:szCs w:val="32"/>
                <w:vertAlign w:val="baseline"/>
              </w:rPr>
            </w:pPr>
            <w:r>
              <w:rPr>
                <w:rFonts w:hint="eastAsia" w:ascii="仿宋_GB2312" w:hAnsi="仿宋_GB2312" w:eastAsia="仿宋_GB2312" w:cs="仿宋_GB2312"/>
                <w:color w:val="auto"/>
                <w:sz w:val="24"/>
                <w:szCs w:val="24"/>
                <w:lang w:val="en-US" w:eastAsia="zh-CN"/>
              </w:rPr>
              <w:t>（25分）</w:t>
            </w:r>
          </w:p>
        </w:tc>
        <w:tc>
          <w:tcPr>
            <w:tcW w:w="1513" w:type="dxa"/>
          </w:tcPr>
          <w:p w14:paraId="767ABC4C">
            <w:pPr>
              <w:widowControl w:val="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律所规模</w:t>
            </w:r>
          </w:p>
          <w:p w14:paraId="44B52B54">
            <w:pPr>
              <w:widowControl w:val="0"/>
              <w:jc w:val="center"/>
              <w:rPr>
                <w:rFonts w:hint="eastAsia" w:ascii="宋体" w:hAnsi="宋体" w:eastAsia="宋体" w:cs="宋体"/>
                <w:b/>
                <w:bCs/>
                <w:color w:val="auto"/>
                <w:sz w:val="32"/>
                <w:szCs w:val="32"/>
                <w:vertAlign w:val="baseline"/>
              </w:rPr>
            </w:pPr>
            <w:r>
              <w:rPr>
                <w:rFonts w:hint="eastAsia" w:ascii="仿宋_GB2312" w:hAnsi="仿宋_GB2312" w:eastAsia="仿宋_GB2312" w:cs="仿宋_GB2312"/>
                <w:color w:val="auto"/>
                <w:sz w:val="24"/>
                <w:szCs w:val="24"/>
                <w:lang w:val="en-US" w:eastAsia="zh-CN"/>
              </w:rPr>
              <w:t>（10分）</w:t>
            </w:r>
          </w:p>
        </w:tc>
        <w:tc>
          <w:tcPr>
            <w:tcW w:w="5081" w:type="dxa"/>
          </w:tcPr>
          <w:p w14:paraId="4D2CCC4D">
            <w:pPr>
              <w:widowControl w:val="0"/>
              <w:jc w:val="left"/>
              <w:rPr>
                <w:rFonts w:hint="eastAsia" w:ascii="宋体" w:hAnsi="宋体" w:eastAsia="宋体" w:cs="宋体"/>
                <w:b/>
                <w:bCs/>
                <w:color w:val="auto"/>
                <w:sz w:val="32"/>
                <w:szCs w:val="32"/>
                <w:vertAlign w:val="baseline"/>
              </w:rPr>
            </w:pPr>
            <w:r>
              <w:rPr>
                <w:rFonts w:hint="eastAsia" w:ascii="仿宋_GB2312" w:hAnsi="仿宋_GB2312" w:eastAsia="仿宋_GB2312" w:cs="仿宋_GB2312"/>
                <w:color w:val="auto"/>
                <w:sz w:val="24"/>
                <w:szCs w:val="24"/>
                <w:lang w:val="en-US" w:eastAsia="zh-CN"/>
              </w:rPr>
              <w:t>供应商执业律师人数在30人（含本数）-100人（不含本数）得3分；100人（含本数）-150人（不含）得5分；150人（含本数）-200人（不含）得7分；在200人（含本数）以上的得10分。最高得10分。须提供</w:t>
            </w:r>
            <w:r>
              <w:rPr>
                <w:rFonts w:hint="eastAsia" w:ascii="仿宋_GB2312" w:hAnsi="仿宋_GB2312" w:eastAsia="仿宋_GB2312" w:cs="仿宋_GB2312"/>
                <w:color w:val="auto"/>
                <w:sz w:val="24"/>
                <w:szCs w:val="24"/>
              </w:rPr>
              <w:t>全国律师诚信信息公示平台查询</w:t>
            </w:r>
            <w:r>
              <w:rPr>
                <w:rFonts w:hint="eastAsia" w:ascii="仿宋_GB2312" w:hAnsi="仿宋_GB2312" w:eastAsia="仿宋_GB2312" w:cs="仿宋_GB2312"/>
                <w:color w:val="auto"/>
                <w:sz w:val="24"/>
                <w:szCs w:val="24"/>
                <w:lang w:val="en-US" w:eastAsia="zh-CN"/>
              </w:rPr>
              <w:t>截图。</w:t>
            </w:r>
          </w:p>
        </w:tc>
      </w:tr>
      <w:tr w14:paraId="5DE7A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vMerge w:val="continue"/>
          </w:tcPr>
          <w:p w14:paraId="73C8735A">
            <w:pPr>
              <w:widowControl w:val="0"/>
              <w:jc w:val="center"/>
              <w:rPr>
                <w:rFonts w:hint="eastAsia" w:ascii="宋体" w:hAnsi="宋体" w:eastAsia="宋体" w:cs="宋体"/>
                <w:b/>
                <w:bCs/>
                <w:color w:val="auto"/>
                <w:sz w:val="32"/>
                <w:szCs w:val="32"/>
                <w:vertAlign w:val="baseline"/>
              </w:rPr>
            </w:pPr>
          </w:p>
        </w:tc>
        <w:tc>
          <w:tcPr>
            <w:tcW w:w="1547" w:type="dxa"/>
            <w:vMerge w:val="continue"/>
          </w:tcPr>
          <w:p w14:paraId="532F76F5">
            <w:pPr>
              <w:widowControl w:val="0"/>
              <w:jc w:val="center"/>
              <w:rPr>
                <w:rFonts w:hint="eastAsia" w:ascii="宋体" w:hAnsi="宋体" w:eastAsia="宋体" w:cs="宋体"/>
                <w:b/>
                <w:bCs/>
                <w:color w:val="auto"/>
                <w:sz w:val="32"/>
                <w:szCs w:val="32"/>
                <w:vertAlign w:val="baseline"/>
              </w:rPr>
            </w:pPr>
          </w:p>
        </w:tc>
        <w:tc>
          <w:tcPr>
            <w:tcW w:w="1513" w:type="dxa"/>
          </w:tcPr>
          <w:p w14:paraId="0945EEA1">
            <w:pPr>
              <w:widowControl w:val="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律所成立年限</w:t>
            </w:r>
          </w:p>
          <w:p w14:paraId="5E168963">
            <w:pPr>
              <w:widowControl w:val="0"/>
              <w:jc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（5分）</w:t>
            </w:r>
          </w:p>
        </w:tc>
        <w:tc>
          <w:tcPr>
            <w:tcW w:w="5081" w:type="dxa"/>
          </w:tcPr>
          <w:p w14:paraId="41874525">
            <w:pPr>
              <w:widowControl w:val="0"/>
              <w:jc w:val="left"/>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供应商成立5年（不含本数）以内的不得分；成立5（含本数）-10年（不含本数）的得2分；成立10（含本数）-20年（不含本数）的得4分；成立20年（含本数）以上的得5分。须提供</w:t>
            </w:r>
            <w:r>
              <w:rPr>
                <w:rFonts w:hint="eastAsia" w:ascii="仿宋_GB2312" w:hAnsi="仿宋_GB2312" w:eastAsia="仿宋_GB2312" w:cs="仿宋_GB2312"/>
                <w:color w:val="auto"/>
                <w:sz w:val="24"/>
                <w:szCs w:val="24"/>
              </w:rPr>
              <w:t>全国律师诚信信息公示平台查询</w:t>
            </w:r>
            <w:r>
              <w:rPr>
                <w:rFonts w:hint="eastAsia" w:ascii="仿宋_GB2312" w:hAnsi="仿宋_GB2312" w:eastAsia="仿宋_GB2312" w:cs="仿宋_GB2312"/>
                <w:color w:val="auto"/>
                <w:sz w:val="24"/>
                <w:szCs w:val="24"/>
                <w:lang w:val="en-US" w:eastAsia="zh-CN"/>
              </w:rPr>
              <w:t>截图。</w:t>
            </w:r>
          </w:p>
        </w:tc>
      </w:tr>
      <w:tr w14:paraId="6347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vMerge w:val="continue"/>
          </w:tcPr>
          <w:p w14:paraId="36353077">
            <w:pPr>
              <w:widowControl w:val="0"/>
              <w:jc w:val="center"/>
              <w:rPr>
                <w:rFonts w:hint="eastAsia" w:ascii="宋体" w:hAnsi="宋体" w:eastAsia="宋体" w:cs="宋体"/>
                <w:b/>
                <w:bCs/>
                <w:color w:val="auto"/>
                <w:sz w:val="32"/>
                <w:szCs w:val="32"/>
                <w:vertAlign w:val="baseline"/>
              </w:rPr>
            </w:pPr>
          </w:p>
        </w:tc>
        <w:tc>
          <w:tcPr>
            <w:tcW w:w="1547" w:type="dxa"/>
            <w:vMerge w:val="continue"/>
          </w:tcPr>
          <w:p w14:paraId="719C95AF">
            <w:pPr>
              <w:widowControl w:val="0"/>
              <w:jc w:val="center"/>
              <w:rPr>
                <w:rFonts w:hint="eastAsia" w:ascii="宋体" w:hAnsi="宋体" w:eastAsia="宋体" w:cs="宋体"/>
                <w:b/>
                <w:bCs/>
                <w:color w:val="auto"/>
                <w:sz w:val="32"/>
                <w:szCs w:val="32"/>
                <w:vertAlign w:val="baseline"/>
              </w:rPr>
            </w:pPr>
          </w:p>
        </w:tc>
        <w:tc>
          <w:tcPr>
            <w:tcW w:w="1513" w:type="dxa"/>
          </w:tcPr>
          <w:p w14:paraId="71EBD092">
            <w:pPr>
              <w:widowControl w:val="0"/>
              <w:jc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资质备案情况（10分）</w:t>
            </w:r>
          </w:p>
        </w:tc>
        <w:tc>
          <w:tcPr>
            <w:tcW w:w="5081" w:type="dxa"/>
          </w:tcPr>
          <w:p w14:paraId="552A080F">
            <w:pPr>
              <w:widowControl w:val="0"/>
              <w:jc w:val="left"/>
              <w:rPr>
                <w:rFonts w:hint="default" w:ascii="仿宋_GB2312" w:hAnsi="仿宋_GB2312" w:eastAsia="仿宋_GB2312" w:cs="仿宋_GB2312"/>
                <w:color w:val="auto"/>
                <w:sz w:val="24"/>
                <w:szCs w:val="24"/>
                <w:lang w:val="en-US"/>
              </w:rPr>
            </w:pPr>
            <w:r>
              <w:rPr>
                <w:rFonts w:hint="eastAsia" w:ascii="仿宋_GB2312" w:hAnsi="仿宋_GB2312" w:eastAsia="仿宋_GB2312" w:cs="仿宋_GB2312"/>
                <w:color w:val="auto"/>
                <w:sz w:val="24"/>
                <w:szCs w:val="24"/>
                <w:lang w:val="en-US" w:eastAsia="zh-CN"/>
              </w:rPr>
              <w:t>供应商为中国银行间市场交易商协会会员单位并完成证监会证券服务业务备案得10分；否则不得分。（需提供查询结果）</w:t>
            </w:r>
          </w:p>
        </w:tc>
      </w:tr>
      <w:tr w14:paraId="11412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vMerge w:val="continue"/>
          </w:tcPr>
          <w:p w14:paraId="6CE2EB9D">
            <w:pPr>
              <w:widowControl w:val="0"/>
              <w:jc w:val="center"/>
              <w:rPr>
                <w:rFonts w:hint="eastAsia" w:ascii="宋体" w:hAnsi="宋体" w:eastAsia="宋体" w:cs="宋体"/>
                <w:b/>
                <w:bCs/>
                <w:color w:val="auto"/>
                <w:sz w:val="32"/>
                <w:szCs w:val="32"/>
                <w:vertAlign w:val="baseline"/>
              </w:rPr>
            </w:pPr>
          </w:p>
        </w:tc>
        <w:tc>
          <w:tcPr>
            <w:tcW w:w="1547" w:type="dxa"/>
            <w:vMerge w:val="restart"/>
          </w:tcPr>
          <w:p w14:paraId="01AFD526">
            <w:pPr>
              <w:widowControl w:val="0"/>
              <w:jc w:val="both"/>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w:t>
            </w: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团队人员配置及服务业绩</w:t>
            </w:r>
          </w:p>
          <w:p w14:paraId="7E02A850">
            <w:pPr>
              <w:widowControl w:val="0"/>
              <w:jc w:val="center"/>
              <w:rPr>
                <w:rFonts w:hint="eastAsia" w:ascii="宋体" w:hAnsi="宋体" w:eastAsia="宋体" w:cs="宋体"/>
                <w:b/>
                <w:bCs/>
                <w:color w:val="auto"/>
                <w:sz w:val="32"/>
                <w:szCs w:val="32"/>
                <w:vertAlign w:val="baseline"/>
              </w:rPr>
            </w:pP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35</w:t>
            </w:r>
            <w:r>
              <w:rPr>
                <w:rFonts w:hint="eastAsia" w:ascii="仿宋_GB2312" w:hAnsi="仿宋_GB2312" w:eastAsia="仿宋_GB2312" w:cs="仿宋_GB2312"/>
                <w:color w:val="auto"/>
                <w:sz w:val="24"/>
                <w:szCs w:val="24"/>
              </w:rPr>
              <w:t>分）</w:t>
            </w:r>
          </w:p>
        </w:tc>
        <w:tc>
          <w:tcPr>
            <w:tcW w:w="1513" w:type="dxa"/>
          </w:tcPr>
          <w:p w14:paraId="70DFE81F">
            <w:pPr>
              <w:widowControl w:val="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团队人员要求</w:t>
            </w:r>
          </w:p>
          <w:p w14:paraId="10C15EF0">
            <w:pPr>
              <w:widowControl w:val="0"/>
              <w:jc w:val="center"/>
              <w:rPr>
                <w:rFonts w:hint="eastAsia" w:ascii="宋体" w:hAnsi="宋体" w:eastAsia="宋体" w:cs="宋体"/>
                <w:b/>
                <w:bCs/>
                <w:color w:val="auto"/>
                <w:sz w:val="32"/>
                <w:szCs w:val="32"/>
                <w:vertAlign w:val="baseline"/>
              </w:rPr>
            </w:pP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15</w:t>
            </w:r>
            <w:r>
              <w:rPr>
                <w:rFonts w:hint="eastAsia" w:ascii="仿宋_GB2312" w:hAnsi="仿宋_GB2312" w:eastAsia="仿宋_GB2312" w:cs="仿宋_GB2312"/>
                <w:color w:val="auto"/>
                <w:sz w:val="24"/>
                <w:szCs w:val="24"/>
              </w:rPr>
              <w:t>分）</w:t>
            </w:r>
          </w:p>
        </w:tc>
        <w:tc>
          <w:tcPr>
            <w:tcW w:w="5081" w:type="dxa"/>
          </w:tcPr>
          <w:p w14:paraId="028FBAD9">
            <w:pPr>
              <w:widowControl w:val="0"/>
              <w:numPr>
                <w:ilvl w:val="0"/>
                <w:numId w:val="0"/>
              </w:numPr>
              <w:rPr>
                <w:rFonts w:hint="eastAsia" w:ascii="仿宋_GB2312" w:hAnsi="仿宋_GB2312" w:eastAsia="仿宋_GB2312" w:cs="仿宋_GB2312"/>
                <w:color w:val="auto"/>
                <w:sz w:val="24"/>
                <w:szCs w:val="24"/>
              </w:rPr>
            </w:pPr>
            <w:r>
              <w:rPr>
                <w:rFonts w:hint="eastAsia" w:ascii="仿宋_GB2312" w:hAnsi="仿宋_GB2312" w:eastAsia="仿宋_GB2312" w:cs="仿宋_GB2312"/>
                <w:snapToGrid w:val="0"/>
                <w:color w:val="auto"/>
                <w:kern w:val="0"/>
                <w:sz w:val="24"/>
                <w:szCs w:val="24"/>
                <w:lang w:val="en-US" w:eastAsia="en-US" w:bidi="ar-SA"/>
              </w:rPr>
              <w:t>1</w:t>
            </w:r>
            <w:r>
              <w:rPr>
                <w:rFonts w:hint="eastAsia" w:ascii="仿宋_GB2312" w:hAnsi="仿宋_GB2312" w:eastAsia="仿宋_GB2312" w:cs="仿宋_GB2312"/>
                <w:snapToGrid w:val="0"/>
                <w:color w:val="auto"/>
                <w:kern w:val="0"/>
                <w:sz w:val="24"/>
                <w:szCs w:val="24"/>
                <w:lang w:val="en-US" w:eastAsia="zh-CN" w:bidi="ar-SA"/>
              </w:rPr>
              <w:t>.</w:t>
            </w:r>
            <w:r>
              <w:rPr>
                <w:rFonts w:hint="eastAsia" w:ascii="仿宋_GB2312" w:hAnsi="仿宋_GB2312" w:eastAsia="仿宋_GB2312" w:cs="仿宋_GB2312"/>
                <w:color w:val="auto"/>
                <w:sz w:val="24"/>
                <w:szCs w:val="24"/>
              </w:rPr>
              <w:t>项目负责人执业</w:t>
            </w:r>
            <w:r>
              <w:rPr>
                <w:rFonts w:hint="eastAsia" w:ascii="仿宋_GB2312" w:hAnsi="仿宋_GB2312" w:eastAsia="仿宋_GB2312" w:cs="仿宋_GB2312"/>
                <w:color w:val="auto"/>
                <w:sz w:val="24"/>
                <w:szCs w:val="24"/>
                <w:lang w:val="en-US" w:eastAsia="zh-CN"/>
              </w:rPr>
              <w:t>5-10年（含本数）2分，10-15年（含本数）得3分；15</w:t>
            </w:r>
            <w:r>
              <w:rPr>
                <w:rFonts w:hint="eastAsia" w:ascii="仿宋_GB2312" w:hAnsi="仿宋_GB2312" w:eastAsia="仿宋_GB2312" w:cs="仿宋_GB2312"/>
                <w:color w:val="auto"/>
                <w:sz w:val="24"/>
                <w:szCs w:val="24"/>
              </w:rPr>
              <w:t>年及以上</w:t>
            </w:r>
            <w:r>
              <w:rPr>
                <w:rFonts w:hint="eastAsia" w:ascii="仿宋_GB2312" w:hAnsi="仿宋_GB2312" w:eastAsia="仿宋_GB2312" w:cs="仿宋_GB2312"/>
                <w:color w:val="auto"/>
                <w:sz w:val="24"/>
                <w:szCs w:val="24"/>
                <w:lang w:val="en-US" w:eastAsia="zh-CN"/>
              </w:rPr>
              <w:t>得5分；</w:t>
            </w:r>
          </w:p>
          <w:p w14:paraId="12495104">
            <w:pPr>
              <w:widowControl w:val="0"/>
              <w:numPr>
                <w:ilvl w:val="0"/>
                <w:numId w:val="0"/>
              </w:numPr>
              <w:rPr>
                <w:rFonts w:hint="eastAsia" w:ascii="仿宋_GB2312" w:hAnsi="仿宋_GB2312" w:eastAsia="仿宋_GB2312" w:cs="仿宋_GB2312"/>
                <w:color w:val="auto"/>
                <w:sz w:val="24"/>
                <w:szCs w:val="24"/>
              </w:rPr>
            </w:pPr>
            <w:r>
              <w:rPr>
                <w:rFonts w:hint="eastAsia" w:ascii="仿宋_GB2312" w:hAnsi="仿宋_GB2312" w:eastAsia="仿宋_GB2312" w:cs="仿宋_GB2312"/>
                <w:snapToGrid w:val="0"/>
                <w:color w:val="auto"/>
                <w:kern w:val="0"/>
                <w:sz w:val="24"/>
                <w:szCs w:val="24"/>
                <w:lang w:val="en-US" w:eastAsia="en-US" w:bidi="ar-SA"/>
              </w:rPr>
              <w:t>2</w:t>
            </w:r>
            <w:r>
              <w:rPr>
                <w:rFonts w:hint="eastAsia" w:ascii="仿宋_GB2312" w:hAnsi="仿宋_GB2312" w:eastAsia="仿宋_GB2312" w:cs="仿宋_GB2312"/>
                <w:snapToGrid w:val="0"/>
                <w:color w:val="auto"/>
                <w:kern w:val="0"/>
                <w:sz w:val="24"/>
                <w:szCs w:val="24"/>
                <w:lang w:val="en-US" w:eastAsia="zh-CN" w:bidi="ar-SA"/>
              </w:rPr>
              <w:t>.</w:t>
            </w:r>
            <w:r>
              <w:rPr>
                <w:rFonts w:hint="eastAsia" w:ascii="仿宋_GB2312" w:hAnsi="仿宋_GB2312" w:eastAsia="仿宋_GB2312" w:cs="仿宋_GB2312"/>
                <w:color w:val="auto"/>
                <w:sz w:val="24"/>
                <w:szCs w:val="24"/>
                <w:lang w:val="en-US" w:eastAsia="zh-CN"/>
              </w:rPr>
              <w:t>项目负责人具有金融证券保险专业证书得5分，没有不得分；</w:t>
            </w:r>
          </w:p>
          <w:p w14:paraId="6FAD137D">
            <w:pPr>
              <w:widowControl w:val="0"/>
              <w:numPr>
                <w:ilvl w:val="0"/>
                <w:numId w:val="0"/>
              </w:numPr>
              <w:rPr>
                <w:rFonts w:hint="default" w:ascii="仿宋_GB2312" w:hAnsi="仿宋_GB2312" w:eastAsia="仿宋_GB2312" w:cs="仿宋_GB2312"/>
                <w:color w:val="auto"/>
                <w:sz w:val="24"/>
                <w:szCs w:val="24"/>
                <w:lang w:val="en-US" w:eastAsia="zh-CN"/>
              </w:rPr>
            </w:pPr>
            <w:r>
              <w:rPr>
                <w:rFonts w:hint="default" w:ascii="仿宋_GB2312" w:hAnsi="仿宋_GB2312" w:eastAsia="仿宋_GB2312" w:cs="仿宋_GB2312"/>
                <w:snapToGrid w:val="0"/>
                <w:color w:val="auto"/>
                <w:kern w:val="0"/>
                <w:sz w:val="24"/>
                <w:szCs w:val="24"/>
                <w:lang w:val="en-US" w:eastAsia="zh-CN" w:bidi="ar-SA"/>
              </w:rPr>
              <w:t>3</w:t>
            </w:r>
            <w:r>
              <w:rPr>
                <w:rFonts w:hint="eastAsia" w:ascii="仿宋_GB2312" w:hAnsi="仿宋_GB2312" w:eastAsia="仿宋_GB2312" w:cs="仿宋_GB2312"/>
                <w:snapToGrid w:val="0"/>
                <w:color w:val="auto"/>
                <w:kern w:val="0"/>
                <w:sz w:val="24"/>
                <w:szCs w:val="24"/>
                <w:lang w:val="en-US" w:eastAsia="zh-CN" w:bidi="ar-SA"/>
              </w:rPr>
              <w:t>.</w:t>
            </w:r>
            <w:r>
              <w:rPr>
                <w:rFonts w:hint="eastAsia" w:ascii="仿宋_GB2312" w:hAnsi="仿宋_GB2312" w:eastAsia="仿宋_GB2312" w:cs="仿宋_GB2312"/>
                <w:color w:val="auto"/>
                <w:sz w:val="24"/>
                <w:szCs w:val="24"/>
                <w:lang w:val="en-US" w:eastAsia="zh-CN"/>
              </w:rPr>
              <w:t>项目负责人具有中级职称（三级律师）的得1分，具有副高职称（二级律师）的得2分，具有高级职称（一级律师）的得5分；</w:t>
            </w:r>
          </w:p>
        </w:tc>
      </w:tr>
      <w:tr w14:paraId="0186B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vMerge w:val="continue"/>
          </w:tcPr>
          <w:p w14:paraId="7AED9430">
            <w:pPr>
              <w:widowControl w:val="0"/>
              <w:jc w:val="center"/>
              <w:rPr>
                <w:rFonts w:hint="eastAsia" w:ascii="宋体" w:hAnsi="宋体" w:eastAsia="宋体" w:cs="宋体"/>
                <w:b/>
                <w:bCs/>
                <w:color w:val="auto"/>
                <w:sz w:val="32"/>
                <w:szCs w:val="32"/>
                <w:vertAlign w:val="baseline"/>
              </w:rPr>
            </w:pPr>
          </w:p>
        </w:tc>
        <w:tc>
          <w:tcPr>
            <w:tcW w:w="1547" w:type="dxa"/>
            <w:vMerge w:val="continue"/>
          </w:tcPr>
          <w:p w14:paraId="186DA259">
            <w:pPr>
              <w:widowControl w:val="0"/>
              <w:jc w:val="center"/>
              <w:rPr>
                <w:rFonts w:hint="eastAsia" w:ascii="宋体" w:hAnsi="宋体" w:eastAsia="宋体" w:cs="宋体"/>
                <w:b/>
                <w:bCs/>
                <w:color w:val="auto"/>
                <w:sz w:val="32"/>
                <w:szCs w:val="32"/>
                <w:vertAlign w:val="baseline"/>
              </w:rPr>
            </w:pPr>
          </w:p>
        </w:tc>
        <w:tc>
          <w:tcPr>
            <w:tcW w:w="1513" w:type="dxa"/>
          </w:tcPr>
          <w:p w14:paraId="1FB26E1C">
            <w:pPr>
              <w:widowControl w:val="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业绩要求</w:t>
            </w:r>
          </w:p>
          <w:p w14:paraId="590B42B0">
            <w:pPr>
              <w:widowControl w:val="0"/>
              <w:jc w:val="center"/>
              <w:rPr>
                <w:rFonts w:hint="eastAsia" w:ascii="宋体" w:hAnsi="宋体" w:eastAsia="宋体" w:cs="宋体"/>
                <w:b/>
                <w:bCs/>
                <w:color w:val="auto"/>
                <w:sz w:val="32"/>
                <w:szCs w:val="32"/>
                <w:vertAlign w:val="baseline"/>
              </w:rPr>
            </w:pP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20分</w:t>
            </w:r>
            <w:r>
              <w:rPr>
                <w:rFonts w:hint="eastAsia" w:ascii="仿宋_GB2312" w:hAnsi="仿宋_GB2312" w:eastAsia="仿宋_GB2312" w:cs="仿宋_GB2312"/>
                <w:color w:val="auto"/>
                <w:sz w:val="24"/>
                <w:szCs w:val="24"/>
              </w:rPr>
              <w:t>）</w:t>
            </w:r>
          </w:p>
        </w:tc>
        <w:tc>
          <w:tcPr>
            <w:tcW w:w="5081" w:type="dxa"/>
          </w:tcPr>
          <w:p w14:paraId="60FAB44A">
            <w:pPr>
              <w:widowControl w:val="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团队人员业绩（2</w:t>
            </w:r>
            <w:r>
              <w:rPr>
                <w:rFonts w:hint="eastAsia" w:ascii="仿宋_GB2312" w:hAnsi="仿宋_GB2312" w:eastAsia="仿宋_GB2312" w:cs="仿宋_GB2312"/>
                <w:color w:val="auto"/>
                <w:sz w:val="24"/>
                <w:szCs w:val="24"/>
                <w:lang w:val="en-US" w:eastAsia="zh-CN"/>
              </w:rPr>
              <w:t>0</w:t>
            </w:r>
            <w:r>
              <w:rPr>
                <w:rFonts w:hint="eastAsia" w:ascii="仿宋_GB2312" w:hAnsi="仿宋_GB2312" w:eastAsia="仿宋_GB2312" w:cs="仿宋_GB2312"/>
                <w:color w:val="auto"/>
                <w:sz w:val="24"/>
                <w:szCs w:val="24"/>
              </w:rPr>
              <w:t>分）</w:t>
            </w:r>
          </w:p>
          <w:p w14:paraId="793FBAD0">
            <w:pPr>
              <w:widowControl w:val="0"/>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团队成员自202</w:t>
            </w:r>
            <w:r>
              <w:rPr>
                <w:rFonts w:hint="eastAsia" w:ascii="仿宋_GB2312" w:hAnsi="仿宋_GB2312" w:eastAsia="仿宋_GB2312" w:cs="仿宋_GB2312"/>
                <w:color w:val="auto"/>
                <w:sz w:val="24"/>
                <w:szCs w:val="24"/>
                <w:lang w:val="en-US" w:eastAsia="zh-CN"/>
              </w:rPr>
              <w:t>4</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lang w:val="en-US" w:eastAsia="zh-CN"/>
              </w:rPr>
              <w:t>10月</w:t>
            </w:r>
            <w:r>
              <w:rPr>
                <w:rFonts w:hint="eastAsia" w:ascii="仿宋_GB2312" w:hAnsi="仿宋_GB2312" w:eastAsia="仿宋_GB2312" w:cs="仿宋_GB2312"/>
                <w:color w:val="auto"/>
                <w:sz w:val="24"/>
                <w:szCs w:val="24"/>
              </w:rPr>
              <w:t>1日</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含</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起具有</w:t>
            </w:r>
            <w:r>
              <w:rPr>
                <w:rFonts w:hint="eastAsia" w:ascii="仿宋_GB2312" w:hAnsi="仿宋_GB2312" w:eastAsia="仿宋_GB2312" w:cs="仿宋_GB2312"/>
                <w:color w:val="auto"/>
                <w:sz w:val="24"/>
                <w:szCs w:val="24"/>
                <w:lang w:val="en-US" w:eastAsia="zh-CN"/>
              </w:rPr>
              <w:t>债券</w:t>
            </w:r>
            <w:r>
              <w:rPr>
                <w:rFonts w:hint="eastAsia" w:ascii="仿宋_GB2312" w:hAnsi="仿宋_GB2312" w:eastAsia="仿宋_GB2312" w:cs="仿宋_GB2312"/>
                <w:color w:val="auto"/>
                <w:sz w:val="24"/>
                <w:szCs w:val="24"/>
              </w:rPr>
              <w:t>发行</w:t>
            </w:r>
            <w:r>
              <w:rPr>
                <w:rFonts w:hint="eastAsia" w:ascii="仿宋_GB2312" w:hAnsi="仿宋_GB2312" w:eastAsia="仿宋_GB2312" w:cs="仿宋_GB2312"/>
                <w:color w:val="auto"/>
                <w:sz w:val="24"/>
                <w:szCs w:val="24"/>
                <w:lang w:val="en-US" w:eastAsia="zh-CN"/>
              </w:rPr>
              <w:t>相关的法律服务</w:t>
            </w:r>
            <w:r>
              <w:rPr>
                <w:rFonts w:hint="eastAsia" w:ascii="仿宋_GB2312" w:hAnsi="仿宋_GB2312" w:eastAsia="仿宋_GB2312" w:cs="仿宋_GB2312"/>
                <w:color w:val="auto"/>
                <w:sz w:val="24"/>
                <w:szCs w:val="24"/>
              </w:rPr>
              <w:t>业绩</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每有1项得</w:t>
            </w:r>
            <w:r>
              <w:rPr>
                <w:rFonts w:hint="eastAsia" w:ascii="仿宋_GB2312" w:hAnsi="仿宋_GB2312" w:eastAsia="仿宋_GB2312" w:cs="仿宋_GB2312"/>
                <w:color w:val="auto"/>
                <w:sz w:val="24"/>
                <w:szCs w:val="24"/>
                <w:lang w:val="en-US" w:eastAsia="zh-CN"/>
              </w:rPr>
              <w:t>4</w:t>
            </w:r>
            <w:r>
              <w:rPr>
                <w:rFonts w:hint="eastAsia" w:ascii="仿宋_GB2312" w:hAnsi="仿宋_GB2312" w:eastAsia="仿宋_GB2312" w:cs="仿宋_GB2312"/>
                <w:color w:val="auto"/>
                <w:sz w:val="24"/>
                <w:szCs w:val="24"/>
              </w:rPr>
              <w:t>分，本项最多得</w:t>
            </w:r>
            <w:r>
              <w:rPr>
                <w:rFonts w:hint="eastAsia" w:ascii="仿宋_GB2312" w:hAnsi="仿宋_GB2312" w:eastAsia="仿宋_GB2312" w:cs="仿宋_GB2312"/>
                <w:color w:val="auto"/>
                <w:sz w:val="24"/>
                <w:szCs w:val="24"/>
                <w:lang w:val="en-US" w:eastAsia="zh-CN"/>
              </w:rPr>
              <w:t>20</w:t>
            </w:r>
            <w:r>
              <w:rPr>
                <w:rFonts w:hint="eastAsia" w:ascii="仿宋_GB2312" w:hAnsi="仿宋_GB2312" w:eastAsia="仿宋_GB2312" w:cs="仿宋_GB2312"/>
                <w:color w:val="auto"/>
                <w:sz w:val="24"/>
                <w:szCs w:val="24"/>
              </w:rPr>
              <w:t>分；须提供合同关键页、法律意见书/服务成果</w:t>
            </w:r>
            <w:r>
              <w:rPr>
                <w:rFonts w:hint="eastAsia" w:ascii="仿宋_GB2312" w:hAnsi="仿宋_GB2312" w:eastAsia="仿宋_GB2312" w:cs="仿宋_GB2312"/>
                <w:color w:val="auto"/>
                <w:sz w:val="24"/>
                <w:szCs w:val="24"/>
                <w:lang w:val="en-US" w:eastAsia="zh-CN"/>
              </w:rPr>
              <w:t>等</w:t>
            </w:r>
            <w:r>
              <w:rPr>
                <w:rFonts w:hint="eastAsia" w:ascii="仿宋_GB2312" w:hAnsi="仿宋_GB2312" w:eastAsia="仿宋_GB2312" w:cs="仿宋_GB2312"/>
                <w:color w:val="auto"/>
                <w:sz w:val="24"/>
                <w:szCs w:val="24"/>
              </w:rPr>
              <w:t>；同一项目不重复计分；业绩时间以合同签订时间或服务成果出具时间在2024年10月1日（含）以后为准。</w:t>
            </w:r>
          </w:p>
        </w:tc>
      </w:tr>
      <w:tr w14:paraId="7CE1C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vMerge w:val="continue"/>
          </w:tcPr>
          <w:p w14:paraId="2196B280">
            <w:pPr>
              <w:widowControl w:val="0"/>
              <w:jc w:val="center"/>
              <w:rPr>
                <w:rFonts w:hint="eastAsia" w:ascii="宋体" w:hAnsi="宋体" w:eastAsia="宋体" w:cs="宋体"/>
                <w:b/>
                <w:bCs/>
                <w:color w:val="auto"/>
                <w:sz w:val="32"/>
                <w:szCs w:val="32"/>
                <w:vertAlign w:val="baseline"/>
              </w:rPr>
            </w:pPr>
          </w:p>
        </w:tc>
        <w:tc>
          <w:tcPr>
            <w:tcW w:w="1547" w:type="dxa"/>
          </w:tcPr>
          <w:p w14:paraId="3C9EDD91">
            <w:pPr>
              <w:widowControl w:val="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2.3报价</w:t>
            </w:r>
          </w:p>
          <w:p w14:paraId="3CFEED97">
            <w:pPr>
              <w:widowControl w:val="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15</w:t>
            </w:r>
            <w:r>
              <w:rPr>
                <w:rFonts w:hint="eastAsia" w:ascii="仿宋_GB2312" w:hAnsi="仿宋_GB2312" w:eastAsia="仿宋_GB2312" w:cs="仿宋_GB2312"/>
                <w:color w:val="auto"/>
                <w:sz w:val="24"/>
                <w:szCs w:val="24"/>
              </w:rPr>
              <w:t>分）</w:t>
            </w:r>
          </w:p>
        </w:tc>
        <w:tc>
          <w:tcPr>
            <w:tcW w:w="1513" w:type="dxa"/>
          </w:tcPr>
          <w:p w14:paraId="21F7F9F5">
            <w:pPr>
              <w:widowControl w:val="0"/>
              <w:ind w:firstLine="240" w:firstLineChars="10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报价</w:t>
            </w:r>
          </w:p>
          <w:p w14:paraId="35E990FC">
            <w:pPr>
              <w:widowControl w:val="0"/>
              <w:ind w:firstLine="240" w:firstLineChars="10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15</w:t>
            </w:r>
            <w:r>
              <w:rPr>
                <w:rFonts w:hint="eastAsia" w:ascii="仿宋_GB2312" w:hAnsi="仿宋_GB2312" w:eastAsia="仿宋_GB2312" w:cs="仿宋_GB2312"/>
                <w:color w:val="auto"/>
                <w:sz w:val="24"/>
                <w:szCs w:val="24"/>
              </w:rPr>
              <w:t>分）</w:t>
            </w:r>
          </w:p>
        </w:tc>
        <w:tc>
          <w:tcPr>
            <w:tcW w:w="5081" w:type="dxa"/>
          </w:tcPr>
          <w:p w14:paraId="42D28332">
            <w:pPr>
              <w:widowControl w:val="0"/>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本项目最高限价</w:t>
            </w:r>
            <w:r>
              <w:rPr>
                <w:rFonts w:hint="eastAsia" w:ascii="仿宋_GB2312" w:hAnsi="仿宋_GB2312" w:eastAsia="仿宋_GB2312" w:cs="仿宋_GB2312"/>
                <w:b/>
                <w:bCs/>
                <w:color w:val="auto"/>
                <w:sz w:val="24"/>
                <w:szCs w:val="24"/>
                <w:highlight w:val="none"/>
                <w:lang w:val="en-US" w:eastAsia="zh-CN"/>
              </w:rPr>
              <w:t>8万元</w:t>
            </w:r>
            <w:r>
              <w:rPr>
                <w:rFonts w:hint="eastAsia" w:ascii="仿宋_GB2312" w:hAnsi="仿宋_GB2312" w:eastAsia="仿宋_GB2312" w:cs="仿宋_GB2312"/>
                <w:b w:val="0"/>
                <w:bCs w:val="0"/>
                <w:color w:val="auto"/>
                <w:sz w:val="24"/>
                <w:szCs w:val="24"/>
                <w:highlight w:val="none"/>
                <w:lang w:val="en-US" w:eastAsia="zh-CN"/>
              </w:rPr>
              <w:t>（含税）</w:t>
            </w:r>
            <w:r>
              <w:rPr>
                <w:rFonts w:hint="eastAsia" w:ascii="仿宋_GB2312" w:hAnsi="仿宋_GB2312" w:eastAsia="仿宋_GB2312" w:cs="仿宋_GB2312"/>
                <w:color w:val="auto"/>
                <w:sz w:val="24"/>
                <w:szCs w:val="24"/>
                <w:lang w:val="en-US" w:eastAsia="zh-CN"/>
              </w:rPr>
              <w:t>，超过最高限价的按无效报价处理。</w:t>
            </w:r>
          </w:p>
          <w:p w14:paraId="522D3F36">
            <w:pPr>
              <w:widowControl w:val="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基准价=响应单位有效报价</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不含税</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的算术平均值。</w:t>
            </w:r>
          </w:p>
          <w:p w14:paraId="0D7ACBD2">
            <w:pPr>
              <w:widowControl w:val="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（1）报价</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不含税</w:t>
            </w:r>
            <w:bookmarkStart w:id="0" w:name="_GoBack"/>
            <w:bookmarkEnd w:id="0"/>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与基准价相等的得满分</w:t>
            </w:r>
            <w:r>
              <w:rPr>
                <w:rFonts w:hint="eastAsia" w:ascii="仿宋_GB2312" w:hAnsi="仿宋_GB2312" w:eastAsia="仿宋_GB2312" w:cs="仿宋_GB2312"/>
                <w:color w:val="auto"/>
                <w:sz w:val="24"/>
                <w:szCs w:val="24"/>
                <w:lang w:val="en-US" w:eastAsia="zh-CN"/>
              </w:rPr>
              <w:t>15</w:t>
            </w:r>
            <w:r>
              <w:rPr>
                <w:rFonts w:hint="eastAsia" w:ascii="仿宋_GB2312" w:hAnsi="仿宋_GB2312" w:eastAsia="仿宋_GB2312" w:cs="仿宋_GB2312"/>
                <w:color w:val="auto"/>
                <w:sz w:val="24"/>
                <w:szCs w:val="24"/>
              </w:rPr>
              <w:t>分；</w:t>
            </w:r>
          </w:p>
          <w:p w14:paraId="7451E84D">
            <w:pPr>
              <w:widowControl w:val="0"/>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（2）报价</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不含税</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高于基准价者，按每高于基准价的</w:t>
            </w:r>
            <w:r>
              <w:rPr>
                <w:rFonts w:hint="eastAsia"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rPr>
              <w:t>%扣</w:t>
            </w:r>
            <w:r>
              <w:rPr>
                <w:rFonts w:hint="eastAsia" w:ascii="仿宋_GB2312" w:hAnsi="仿宋_GB2312" w:eastAsia="仿宋_GB2312" w:cs="仿宋_GB2312"/>
                <w:color w:val="auto"/>
                <w:sz w:val="24"/>
                <w:szCs w:val="24"/>
                <w:lang w:val="en-US" w:eastAsia="zh-CN"/>
              </w:rPr>
              <w:t>1</w:t>
            </w:r>
            <w:r>
              <w:rPr>
                <w:rFonts w:hint="eastAsia" w:ascii="仿宋_GB2312" w:hAnsi="仿宋_GB2312" w:eastAsia="仿宋_GB2312" w:cs="仿宋_GB2312"/>
                <w:color w:val="auto"/>
                <w:sz w:val="24"/>
                <w:szCs w:val="24"/>
              </w:rPr>
              <w:t>分的</w:t>
            </w:r>
            <w:r>
              <w:rPr>
                <w:rFonts w:hint="eastAsia" w:ascii="仿宋_GB2312" w:hAnsi="仿宋_GB2312" w:eastAsia="仿宋_GB2312" w:cs="仿宋_GB2312"/>
                <w:color w:val="auto"/>
                <w:sz w:val="24"/>
                <w:szCs w:val="24"/>
                <w:lang w:val="en-US" w:eastAsia="zh-CN"/>
              </w:rPr>
              <w:t>标准，</w:t>
            </w:r>
            <w:r>
              <w:rPr>
                <w:rFonts w:hint="eastAsia" w:ascii="仿宋_GB2312" w:hAnsi="仿宋_GB2312" w:eastAsia="仿宋_GB2312" w:cs="仿宋_GB2312"/>
                <w:color w:val="auto"/>
                <w:sz w:val="24"/>
                <w:szCs w:val="24"/>
              </w:rPr>
              <w:t>在满分的基础上进行扣分，</w:t>
            </w:r>
            <w:r>
              <w:rPr>
                <w:rFonts w:hint="eastAsia" w:ascii="仿宋_GB2312" w:hAnsi="仿宋_GB2312" w:eastAsia="仿宋_GB2312" w:cs="仿宋_GB2312"/>
                <w:color w:val="auto"/>
                <w:sz w:val="24"/>
                <w:szCs w:val="24"/>
                <w:lang w:val="en-US" w:eastAsia="zh-CN"/>
              </w:rPr>
              <w:t>扣完为止</w:t>
            </w:r>
            <w:r>
              <w:rPr>
                <w:rFonts w:hint="eastAsia" w:ascii="仿宋_GB2312" w:hAnsi="仿宋_GB2312" w:eastAsia="仿宋_GB2312" w:cs="仿宋_GB2312"/>
                <w:color w:val="auto"/>
                <w:sz w:val="24"/>
                <w:szCs w:val="24"/>
              </w:rPr>
              <w:t>；不足5%按比例进行扣分</w:t>
            </w:r>
            <w:r>
              <w:rPr>
                <w:rFonts w:hint="eastAsia" w:ascii="仿宋_GB2312" w:hAnsi="仿宋_GB2312" w:eastAsia="仿宋_GB2312" w:cs="仿宋_GB2312"/>
                <w:color w:val="auto"/>
                <w:sz w:val="24"/>
                <w:szCs w:val="24"/>
                <w:lang w:eastAsia="zh-CN"/>
              </w:rPr>
              <w:t>。</w:t>
            </w:r>
          </w:p>
          <w:p w14:paraId="1F63D6E3">
            <w:pPr>
              <w:widowControl w:val="0"/>
              <w:rPr>
                <w:rFonts w:hint="eastAsia" w:ascii="宋体" w:hAnsi="宋体" w:eastAsia="仿宋_GB2312" w:cs="宋体"/>
                <w:b/>
                <w:bCs/>
                <w:color w:val="auto"/>
                <w:sz w:val="32"/>
                <w:szCs w:val="32"/>
                <w:vertAlign w:val="baseline"/>
                <w:lang w:eastAsia="zh-CN"/>
              </w:rPr>
            </w:pPr>
            <w:r>
              <w:rPr>
                <w:rFonts w:hint="eastAsia" w:ascii="仿宋_GB2312" w:hAnsi="仿宋_GB2312" w:eastAsia="仿宋_GB2312" w:cs="仿宋_GB2312"/>
                <w:color w:val="auto"/>
                <w:sz w:val="24"/>
                <w:szCs w:val="24"/>
              </w:rPr>
              <w:t>（3）报价</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不含税</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低于基准价时，按每低于基准价的</w:t>
            </w:r>
            <w:r>
              <w:rPr>
                <w:rFonts w:hint="eastAsia"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rPr>
              <w:t>%扣</w:t>
            </w:r>
            <w:r>
              <w:rPr>
                <w:rFonts w:hint="eastAsia" w:ascii="仿宋_GB2312" w:hAnsi="仿宋_GB2312" w:eastAsia="仿宋_GB2312" w:cs="仿宋_GB2312"/>
                <w:color w:val="auto"/>
                <w:sz w:val="24"/>
                <w:szCs w:val="24"/>
                <w:lang w:val="en-US" w:eastAsia="zh-CN"/>
              </w:rPr>
              <w:t>0.5</w:t>
            </w:r>
            <w:r>
              <w:rPr>
                <w:rFonts w:hint="eastAsia" w:ascii="仿宋_GB2312" w:hAnsi="仿宋_GB2312" w:eastAsia="仿宋_GB2312" w:cs="仿宋_GB2312"/>
                <w:color w:val="auto"/>
                <w:sz w:val="24"/>
                <w:szCs w:val="24"/>
              </w:rPr>
              <w:t>分的</w:t>
            </w:r>
            <w:r>
              <w:rPr>
                <w:rFonts w:hint="eastAsia" w:ascii="仿宋_GB2312" w:hAnsi="仿宋_GB2312" w:eastAsia="仿宋_GB2312" w:cs="仿宋_GB2312"/>
                <w:color w:val="auto"/>
                <w:sz w:val="24"/>
                <w:szCs w:val="24"/>
                <w:lang w:val="en-US" w:eastAsia="zh-CN"/>
              </w:rPr>
              <w:t>标准</w:t>
            </w:r>
            <w:r>
              <w:rPr>
                <w:rFonts w:hint="eastAsia" w:ascii="仿宋_GB2312" w:hAnsi="仿宋_GB2312" w:eastAsia="仿宋_GB2312" w:cs="仿宋_GB2312"/>
                <w:color w:val="auto"/>
                <w:sz w:val="24"/>
                <w:szCs w:val="24"/>
              </w:rPr>
              <w:t>在满分的基础上进行扣分，</w:t>
            </w:r>
            <w:r>
              <w:rPr>
                <w:rFonts w:hint="eastAsia" w:ascii="仿宋_GB2312" w:hAnsi="仿宋_GB2312" w:eastAsia="仿宋_GB2312" w:cs="仿宋_GB2312"/>
                <w:color w:val="auto"/>
                <w:sz w:val="24"/>
                <w:szCs w:val="24"/>
                <w:lang w:val="en-US" w:eastAsia="zh-CN"/>
              </w:rPr>
              <w:t>扣完为止</w:t>
            </w:r>
            <w:r>
              <w:rPr>
                <w:rFonts w:hint="eastAsia" w:ascii="仿宋_GB2312" w:hAnsi="仿宋_GB2312" w:eastAsia="仿宋_GB2312" w:cs="仿宋_GB2312"/>
                <w:color w:val="auto"/>
                <w:sz w:val="24"/>
                <w:szCs w:val="24"/>
              </w:rPr>
              <w:t>；不足5%按比例进行扣分</w:t>
            </w:r>
            <w:r>
              <w:rPr>
                <w:rFonts w:hint="eastAsia" w:ascii="仿宋_GB2312" w:hAnsi="仿宋_GB2312" w:eastAsia="仿宋_GB2312" w:cs="仿宋_GB2312"/>
                <w:color w:val="auto"/>
                <w:sz w:val="24"/>
                <w:szCs w:val="24"/>
                <w:lang w:eastAsia="zh-CN"/>
              </w:rPr>
              <w:t>。</w:t>
            </w:r>
          </w:p>
        </w:tc>
      </w:tr>
      <w:tr w14:paraId="06326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vMerge w:val="continue"/>
          </w:tcPr>
          <w:p w14:paraId="76E17E8B">
            <w:pPr>
              <w:widowControl w:val="0"/>
              <w:jc w:val="center"/>
              <w:rPr>
                <w:rFonts w:hint="eastAsia" w:ascii="宋体" w:hAnsi="宋体" w:eastAsia="宋体" w:cs="宋体"/>
                <w:b/>
                <w:bCs/>
                <w:color w:val="auto"/>
                <w:sz w:val="32"/>
                <w:szCs w:val="32"/>
                <w:vertAlign w:val="baseline"/>
              </w:rPr>
            </w:pPr>
          </w:p>
        </w:tc>
        <w:tc>
          <w:tcPr>
            <w:tcW w:w="1547" w:type="dxa"/>
            <w:vMerge w:val="restart"/>
          </w:tcPr>
          <w:p w14:paraId="03B0740B">
            <w:pPr>
              <w:widowControl w:val="0"/>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2.4综合评价</w:t>
            </w:r>
          </w:p>
          <w:p w14:paraId="7E31F1EC">
            <w:pPr>
              <w:widowControl w:val="0"/>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（25分）</w:t>
            </w:r>
          </w:p>
        </w:tc>
        <w:tc>
          <w:tcPr>
            <w:tcW w:w="1513" w:type="dxa"/>
          </w:tcPr>
          <w:p w14:paraId="5A69E8B1">
            <w:pPr>
              <w:widowControl w:val="0"/>
              <w:ind w:firstLine="240" w:firstLineChars="100"/>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服务承诺（10分）</w:t>
            </w:r>
          </w:p>
        </w:tc>
        <w:tc>
          <w:tcPr>
            <w:tcW w:w="5081" w:type="dxa"/>
          </w:tcPr>
          <w:p w14:paraId="1B86A00F">
            <w:pPr>
              <w:widowControl w:val="0"/>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供应商须在承诺函中需列明如下服务承诺：包括但不限于</w:t>
            </w:r>
            <w:r>
              <w:rPr>
                <w:rFonts w:hint="default" w:ascii="仿宋_GB2312" w:hAnsi="仿宋_GB2312" w:eastAsia="仿宋_GB2312" w:cs="仿宋_GB2312"/>
                <w:color w:val="auto"/>
                <w:sz w:val="24"/>
                <w:szCs w:val="24"/>
                <w:lang w:val="en-US" w:eastAsia="zh-CN"/>
              </w:rPr>
              <w:t>响应与反馈时效</w:t>
            </w:r>
            <w:r>
              <w:rPr>
                <w:rFonts w:hint="eastAsia" w:ascii="仿宋_GB2312" w:hAnsi="仿宋_GB2312" w:eastAsia="仿宋_GB2312" w:cs="仿宋_GB2312"/>
                <w:color w:val="auto"/>
                <w:sz w:val="24"/>
                <w:szCs w:val="24"/>
                <w:lang w:val="en-US" w:eastAsia="zh-CN"/>
              </w:rPr>
              <w:t>、质量保障、保密、廉洁与利益冲突、存续期服务等。</w:t>
            </w:r>
          </w:p>
          <w:p w14:paraId="641C216F">
            <w:pPr>
              <w:widowControl w:val="0"/>
              <w:rPr>
                <w:rFonts w:hint="eastAsia" w:ascii="仿宋_GB2312" w:hAnsi="仿宋_GB2312" w:eastAsia="宋体"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服务承诺内容优秀得9分（含）—10分（含）；良好得5分（含）—9分（不含）；一般得1分（含）—5分（不含）；无明确服务承诺的得0分。</w:t>
            </w:r>
          </w:p>
        </w:tc>
      </w:tr>
      <w:tr w14:paraId="6E50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vMerge w:val="continue"/>
          </w:tcPr>
          <w:p w14:paraId="4E29E8A8">
            <w:pPr>
              <w:widowControl w:val="0"/>
              <w:jc w:val="center"/>
              <w:rPr>
                <w:rFonts w:hint="eastAsia" w:ascii="宋体" w:hAnsi="宋体" w:eastAsia="宋体" w:cs="宋体"/>
                <w:b/>
                <w:bCs/>
                <w:color w:val="auto"/>
                <w:sz w:val="32"/>
                <w:szCs w:val="32"/>
                <w:vertAlign w:val="baseline"/>
              </w:rPr>
            </w:pPr>
          </w:p>
        </w:tc>
        <w:tc>
          <w:tcPr>
            <w:tcW w:w="1547" w:type="dxa"/>
            <w:vMerge w:val="continue"/>
          </w:tcPr>
          <w:p w14:paraId="5EB4A8BD">
            <w:pPr>
              <w:widowControl w:val="0"/>
              <w:rPr>
                <w:rFonts w:hint="eastAsia" w:ascii="仿宋_GB2312" w:hAnsi="仿宋_GB2312" w:eastAsia="仿宋_GB2312" w:cs="仿宋_GB2312"/>
                <w:color w:val="auto"/>
                <w:sz w:val="24"/>
                <w:szCs w:val="24"/>
                <w:lang w:val="en-US" w:eastAsia="zh-CN"/>
              </w:rPr>
            </w:pPr>
          </w:p>
        </w:tc>
        <w:tc>
          <w:tcPr>
            <w:tcW w:w="1513" w:type="dxa"/>
            <w:tcBorders>
              <w:top w:val="single" w:color="auto" w:sz="4" w:space="0"/>
              <w:left w:val="single" w:color="auto" w:sz="4" w:space="0"/>
              <w:bottom w:val="single" w:color="auto" w:sz="4" w:space="0"/>
              <w:right w:val="single" w:color="auto" w:sz="4" w:space="0"/>
            </w:tcBorders>
            <w:vAlign w:val="top"/>
          </w:tcPr>
          <w:p w14:paraId="3F67F1C3">
            <w:pPr>
              <w:widowControl w:val="0"/>
              <w:ind w:firstLine="240" w:firstLineChars="100"/>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服务方案</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15分）</w:t>
            </w:r>
          </w:p>
        </w:tc>
        <w:tc>
          <w:tcPr>
            <w:tcW w:w="5081" w:type="dxa"/>
            <w:tcBorders>
              <w:top w:val="single" w:color="auto" w:sz="4" w:space="0"/>
              <w:left w:val="single" w:color="auto" w:sz="4" w:space="0"/>
              <w:bottom w:val="single" w:color="auto" w:sz="4" w:space="0"/>
              <w:right w:val="single" w:color="auto" w:sz="4" w:space="0"/>
            </w:tcBorders>
            <w:vAlign w:val="top"/>
          </w:tcPr>
          <w:p w14:paraId="1E5E9252">
            <w:pPr>
              <w:widowControl w:val="0"/>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针对本项目制定的服务方案进行综合评分，包括不限于对银行间市场规则的理解、工作进度与保障措施、风险识别与应对措施等。</w:t>
            </w:r>
          </w:p>
          <w:p w14:paraId="75703BCA">
            <w:pPr>
              <w:widowControl w:val="0"/>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服务方案</w:t>
            </w:r>
            <w:r>
              <w:rPr>
                <w:rFonts w:hint="eastAsia" w:ascii="仿宋_GB2312" w:hAnsi="仿宋_GB2312" w:eastAsia="仿宋_GB2312" w:cs="仿宋_GB2312"/>
                <w:color w:val="auto"/>
                <w:sz w:val="24"/>
                <w:szCs w:val="24"/>
              </w:rPr>
              <w:t>内容完整、针对性强、可操作性强的，得13</w:t>
            </w:r>
            <w:r>
              <w:rPr>
                <w:rFonts w:hint="eastAsia" w:ascii="仿宋_GB2312" w:hAnsi="仿宋_GB2312" w:eastAsia="仿宋_GB2312" w:cs="仿宋_GB2312"/>
                <w:color w:val="auto"/>
                <w:sz w:val="24"/>
                <w:szCs w:val="24"/>
                <w:lang w:val="en-US" w:eastAsia="zh-CN"/>
              </w:rPr>
              <w:t>分</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含</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—15分</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含</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；较完整、较有针对性的，得10</w:t>
            </w:r>
            <w:r>
              <w:rPr>
                <w:rFonts w:hint="eastAsia" w:ascii="仿宋_GB2312" w:hAnsi="仿宋_GB2312" w:eastAsia="仿宋_GB2312" w:cs="仿宋_GB2312"/>
                <w:color w:val="auto"/>
                <w:sz w:val="24"/>
                <w:szCs w:val="24"/>
                <w:lang w:val="en-US" w:eastAsia="zh-CN"/>
              </w:rPr>
              <w:t>分（含）</w:t>
            </w:r>
            <w:r>
              <w:rPr>
                <w:rFonts w:hint="eastAsia" w:ascii="仿宋_GB2312" w:hAnsi="仿宋_GB2312" w:eastAsia="仿宋_GB2312" w:cs="仿宋_GB2312"/>
                <w:color w:val="auto"/>
                <w:sz w:val="24"/>
                <w:szCs w:val="24"/>
              </w:rPr>
              <w:t>—1</w:t>
            </w: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分</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不含</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；基本完整但深度一般的，得</w:t>
            </w:r>
            <w:r>
              <w:rPr>
                <w:rFonts w:hint="eastAsia" w:ascii="仿宋_GB2312" w:hAnsi="仿宋_GB2312" w:eastAsia="仿宋_GB2312" w:cs="仿宋_GB2312"/>
                <w:color w:val="auto"/>
                <w:sz w:val="24"/>
                <w:szCs w:val="24"/>
                <w:lang w:val="en-US" w:eastAsia="zh-CN"/>
              </w:rPr>
              <w:t>5分（含）</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10</w:t>
            </w:r>
            <w:r>
              <w:rPr>
                <w:rFonts w:hint="eastAsia" w:ascii="仿宋_GB2312" w:hAnsi="仿宋_GB2312" w:eastAsia="仿宋_GB2312" w:cs="仿宋_GB2312"/>
                <w:color w:val="auto"/>
                <w:sz w:val="24"/>
                <w:szCs w:val="24"/>
              </w:rPr>
              <w:t>分</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不含</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；内容不完整或针对性不足的，得</w:t>
            </w:r>
            <w:r>
              <w:rPr>
                <w:rFonts w:hint="eastAsia" w:ascii="仿宋_GB2312" w:hAnsi="仿宋_GB2312" w:eastAsia="仿宋_GB2312" w:cs="仿宋_GB2312"/>
                <w:color w:val="auto"/>
                <w:sz w:val="24"/>
                <w:szCs w:val="24"/>
                <w:lang w:val="en-US" w:eastAsia="zh-CN"/>
              </w:rPr>
              <w:t>1分</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含</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—5分</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不含</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未提供服务方案，或虽提供但完全不响应采购需求、缺关键章节、不可执行的，得0分。</w:t>
            </w:r>
          </w:p>
        </w:tc>
      </w:tr>
    </w:tbl>
    <w:p w14:paraId="296D7DC2">
      <w:pPr>
        <w:rPr>
          <w:rFonts w:hint="eastAsia" w:ascii="仿宋_GB2312" w:hAnsi="仿宋_GB2312" w:eastAsia="仿宋_GB2312" w:cs="仿宋_GB2312"/>
          <w:color w:val="auto"/>
          <w:sz w:val="24"/>
          <w:szCs w:val="24"/>
        </w:rPr>
      </w:pPr>
    </w:p>
    <w:p w14:paraId="424B6D11">
      <w:pPr>
        <w:rPr>
          <w:rFonts w:hint="eastAsia" w:ascii="仿宋_GB2312" w:hAnsi="仿宋_GB2312" w:eastAsia="仿宋_GB2312" w:cs="仿宋_GB2312"/>
          <w:sz w:val="24"/>
          <w:szCs w:val="24"/>
        </w:rPr>
      </w:pPr>
    </w:p>
    <w:p w14:paraId="5D471FBF">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说明：</w:t>
      </w:r>
    </w:p>
    <w:p w14:paraId="21CF5405">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详细评审表中“以上”均包含本数；不满1年但满6个月的按1年计算；执业年限</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律所律师人数</w:t>
      </w:r>
      <w:r>
        <w:rPr>
          <w:rFonts w:hint="eastAsia" w:ascii="仿宋_GB2312" w:hAnsi="仿宋_GB2312" w:eastAsia="仿宋_GB2312" w:cs="仿宋_GB2312"/>
          <w:sz w:val="24"/>
          <w:szCs w:val="24"/>
        </w:rPr>
        <w:t>以全国律师诚信信息公示平台查询显示为准；业绩需提供服务成果及服务合同关键页</w:t>
      </w:r>
      <w:r>
        <w:rPr>
          <w:rFonts w:hint="eastAsia" w:ascii="仿宋_GB2312" w:hAnsi="仿宋_GB2312" w:eastAsia="仿宋_GB2312" w:cs="仿宋_GB2312"/>
          <w:sz w:val="24"/>
          <w:szCs w:val="24"/>
          <w:lang w:val="en-US" w:eastAsia="zh-CN"/>
        </w:rPr>
        <w:t>。</w:t>
      </w:r>
    </w:p>
    <w:p w14:paraId="0180F18A">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2.根据</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供应商</w:t>
      </w:r>
      <w:r>
        <w:rPr>
          <w:rFonts w:hint="eastAsia" w:ascii="仿宋_GB2312" w:hAnsi="仿宋_GB2312" w:eastAsia="仿宋_GB2312" w:cs="仿宋_GB2312"/>
          <w:sz w:val="24"/>
          <w:szCs w:val="24"/>
        </w:rPr>
        <w:t>平均得分由高至低排列，分值最高者选定为成交</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供应商</w:t>
      </w:r>
      <w:r>
        <w:rPr>
          <w:rFonts w:hint="eastAsia" w:ascii="仿宋_GB2312" w:hAnsi="仿宋_GB2312" w:eastAsia="仿宋_GB2312" w:cs="仿宋_GB2312"/>
          <w:sz w:val="24"/>
          <w:szCs w:val="24"/>
        </w:rPr>
        <w:t>。若平均得分相同且报价相同，由询比小组成员举手表决（半数通过）；若平均得分相同但报价不同，报价低的</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供应商</w:t>
      </w:r>
      <w:r>
        <w:rPr>
          <w:rFonts w:hint="eastAsia" w:ascii="仿宋_GB2312" w:hAnsi="仿宋_GB2312" w:eastAsia="仿宋_GB2312" w:cs="仿宋_GB2312"/>
          <w:sz w:val="24"/>
          <w:szCs w:val="24"/>
        </w:rPr>
        <w:t>顺序优先。</w:t>
      </w:r>
    </w:p>
    <w:p w14:paraId="6BE84140">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.凡发现有提供虚假材料的报价人，取消其资格。</w:t>
      </w:r>
    </w:p>
    <w:p w14:paraId="5CC5B5AD"/>
    <w:p w14:paraId="0D952328"/>
    <w:p w14:paraId="318B2606"/>
    <w:sectPr>
      <w:headerReference r:id="rId5" w:type="default"/>
      <w:footerReference r:id="rId6" w:type="default"/>
      <w:pgSz w:w="11906" w:h="16838"/>
      <w:pgMar w:top="1440" w:right="1800" w:bottom="1440" w:left="180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ingFang SC">
    <w:altName w:val="宋体"/>
    <w:panose1 w:val="020B0400000000000000"/>
    <w:charset w:val="86"/>
    <w:family w:val="auto"/>
    <w:pitch w:val="default"/>
    <w:sig w:usb0="00000000" w:usb1="00000000" w:usb2="00000017"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84CFF">
    <w:pPr>
      <w:pStyle w:val="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F71C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946D2A"/>
    <w:rsid w:val="008F1FE2"/>
    <w:rsid w:val="0A560156"/>
    <w:rsid w:val="12F13711"/>
    <w:rsid w:val="16A91326"/>
    <w:rsid w:val="1A9672AE"/>
    <w:rsid w:val="210C2F5E"/>
    <w:rsid w:val="228F7EE6"/>
    <w:rsid w:val="2B4A36B0"/>
    <w:rsid w:val="2D7A4915"/>
    <w:rsid w:val="40A55471"/>
    <w:rsid w:val="452812AF"/>
    <w:rsid w:val="45946D2A"/>
    <w:rsid w:val="4ED2175E"/>
    <w:rsid w:val="64E26354"/>
    <w:rsid w:val="6C2A613C"/>
    <w:rsid w:val="6E004F03"/>
    <w:rsid w:val="776307D9"/>
    <w:rsid w:val="7CF528E8"/>
    <w:rsid w:val="7F632C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Arial" w:hAnsi="Arial" w:eastAsia="Arial" w:cs="Arial"/>
      <w:sz w:val="21"/>
      <w:szCs w:val="21"/>
      <w:lang w:val="en-US" w:eastAsia="en-US" w:bidi="ar-SA"/>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Table Text"/>
    <w:basedOn w:val="1"/>
    <w:semiHidden/>
    <w:qFormat/>
    <w:uiPriority w:val="0"/>
    <w:rPr>
      <w:rFonts w:ascii="PingFang SC" w:hAnsi="PingFang SC" w:eastAsia="PingFang SC" w:cs="PingFang SC"/>
      <w:sz w:val="24"/>
      <w:szCs w:val="24"/>
      <w:lang w:val="en-US" w:eastAsia="en-US" w:bidi="ar-SA"/>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1039</Words>
  <Characters>1115</Characters>
  <Lines>0</Lines>
  <Paragraphs>0</Paragraphs>
  <TotalTime>5</TotalTime>
  <ScaleCrop>false</ScaleCrop>
  <LinksUpToDate>false</LinksUpToDate>
  <CharactersWithSpaces>1115</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2026-10-15T15:56:00Z</dcterms:created>
  <dc:creator>杨晓玉</dc:creator>
  <cp:lastModifiedBy>何航</cp:lastModifiedBy>
  <cp:lastPrinted>2026-10-26T10:42:00Z</cp:lastPrinted>
  <dcterms:modified xsi:type="dcterms:W3CDTF">2026-11-03T02:52:58Z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64D184E7542F4D519C6DCBB263588C4A_13</vt:lpwstr>
  </property>
  <property fmtid="{D5CDD505-2E9C-101B-9397-08002B2CF9AE}" pid="4" name="KSOTemplateDocerSaveRecord">
    <vt:lpwstr>eyJoZGlkIjoiYjkwMjY1NTZhZmIwNWYwNTFmMzI3NjUxNjFjYzNjNWYiLCJ1c2VySWQiOiIxMTIwMzQ5Mjg0In0=</vt:lpwstr>
  </property>
</Properties>
</file>